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p w:rsidR="00F74678" w:rsidRPr="00DE5117" w:rsidRDefault="00BC0B9F" w:rsidP="00644C88">
            <w:pPr>
              <w:pStyle w:val="CertHBWhite"/>
            </w:pPr>
            <w:r>
              <w:rPr>
                <w:noProof/>
                <w:lang w:eastAsia="en-AU"/>
              </w:rPr>
              <mc:AlternateContent>
                <mc:Choice Requires="wps">
                  <w:drawing>
                    <wp:anchor distT="0" distB="0" distL="114300" distR="114300" simplePos="0" relativeHeight="251657728" behindDoc="0" locked="0" layoutInCell="1" allowOverlap="1" wp14:anchorId="52621EBF" wp14:editId="19426D3E">
                      <wp:simplePos x="0" y="0"/>
                      <wp:positionH relativeFrom="column">
                        <wp:posOffset>-72390</wp:posOffset>
                      </wp:positionH>
                      <wp:positionV relativeFrom="paragraph">
                        <wp:posOffset>1017905</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88" w:rsidRPr="00887805" w:rsidRDefault="00502FE5" w:rsidP="00B87CF6">
                                  <w:pPr>
                                    <w:pStyle w:val="CertHDWhite"/>
                                  </w:pPr>
                                  <w:proofErr w:type="spellStart"/>
                                  <w:r>
                                    <w:t>Dja</w:t>
                                  </w:r>
                                  <w:proofErr w:type="spellEnd"/>
                                  <w:r>
                                    <w:t xml:space="preserve"> </w:t>
                                  </w:r>
                                  <w:proofErr w:type="spellStart"/>
                                  <w:r>
                                    <w:t>Dja</w:t>
                                  </w:r>
                                  <w:proofErr w:type="spellEnd"/>
                                  <w:r>
                                    <w:t xml:space="preserve"> Wurrung On Country Rights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80.1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vOxQRd8AAAALAQAADwAAAGRycy9kb3ducmV2LnhtbEyPwU7DMBBE70j8g7VI3Fo7pURpiFMh&#10;EFcq2oLEzY23SUS8jmK3CX/P9kSPq3maeVusJ9eJMw6h9aQhmSsQSJW3LdUa9ru3WQYiREPWdJ5Q&#10;wy8GWJe3N4XJrR/pA8/bWAsuoZAbDU2MfS5lqBp0Jsx9j8TZ0Q/ORD6HWtrBjFzuOrlQKpXOtMQL&#10;jenxpcHqZ3tyGj7fj99fS7WpX91jP/pJSXIrqfX93fT8BCLiFP9huOizOpTsdPAnskF0GmZJsmSU&#10;g1Q9gGAiS7MUxEHDIslWIMtCXv9Q/gEAAP//AwBQSwECLQAUAAYACAAAACEAtoM4kv4AAADhAQAA&#10;EwAAAAAAAAAAAAAAAAAAAAAAW0NvbnRlbnRfVHlwZXNdLnhtbFBLAQItABQABgAIAAAAIQA4/SH/&#10;1gAAAJQBAAALAAAAAAAAAAAAAAAAAC8BAABfcmVscy8ucmVsc1BLAQItABQABgAIAAAAIQClAITb&#10;ugIAALkFAAAOAAAAAAAAAAAAAAAAAC4CAABkcnMvZTJvRG9jLnhtbFBLAQItABQABgAIAAAAIQC8&#10;7FBF3wAAAAsBAAAPAAAAAAAAAAAAAAAAABQFAABkcnMvZG93bnJldi54bWxQSwUGAAAAAAQABADz&#10;AAAAIAYAAAAA&#10;" filled="f" stroked="f">
                      <v:textbox>
                        <w:txbxContent>
                          <w:p w:rsidR="00644C88" w:rsidRPr="00887805" w:rsidRDefault="00502FE5" w:rsidP="00B87CF6">
                            <w:pPr>
                              <w:pStyle w:val="CertHDWhite"/>
                            </w:pPr>
                            <w:proofErr w:type="spellStart"/>
                            <w:r>
                              <w:t>Dja</w:t>
                            </w:r>
                            <w:proofErr w:type="spellEnd"/>
                            <w:r>
                              <w:t xml:space="preserve"> </w:t>
                            </w:r>
                            <w:proofErr w:type="spellStart"/>
                            <w:r>
                              <w:t>Dja</w:t>
                            </w:r>
                            <w:proofErr w:type="spellEnd"/>
                            <w:r>
                              <w:t xml:space="preserve"> Wurrung On Country Rights</w:t>
                            </w:r>
                          </w:p>
                        </w:txbxContent>
                      </v:textbox>
                    </v:shape>
                  </w:pict>
                </mc:Fallback>
              </mc:AlternateContent>
            </w:r>
            <w:r w:rsidR="00502FE5">
              <w:t>Fishing and Hunting</w:t>
            </w:r>
          </w:p>
        </w:tc>
      </w:tr>
    </w:tbl>
    <w:p w:rsidR="00DE6DD3" w:rsidRDefault="00DE6DD3" w:rsidP="00DE6DD3">
      <w:pPr>
        <w:pStyle w:val="Pullout"/>
      </w:pPr>
      <w:bookmarkStart w:id="0" w:name="Here"/>
      <w:bookmarkEnd w:id="0"/>
      <w:r>
        <w:t xml:space="preserve">The Hunting Authorisation Order is a way for </w:t>
      </w:r>
      <w:proofErr w:type="spellStart"/>
      <w:r>
        <w:t>Dja</w:t>
      </w:r>
      <w:proofErr w:type="spellEnd"/>
      <w:r>
        <w:t> </w:t>
      </w:r>
      <w:proofErr w:type="spellStart"/>
      <w:r>
        <w:t>Dja</w:t>
      </w:r>
      <w:proofErr w:type="spellEnd"/>
      <w:r>
        <w:t xml:space="preserve"> Wurrung people to engage in traditional hunting and fishing. Caring for Country is the living essence that is shared between people and place and is vital for maintaining our culture. The passing down of our traditions to the younger generations is how we have maintained our cultural identity over the passage of time and is the primary responsibility of </w:t>
      </w:r>
      <w:proofErr w:type="spellStart"/>
      <w:r>
        <w:t>Dja</w:t>
      </w:r>
      <w:proofErr w:type="spellEnd"/>
      <w:r>
        <w:t> </w:t>
      </w:r>
      <w:proofErr w:type="spellStart"/>
      <w:r>
        <w:t>Dja</w:t>
      </w:r>
      <w:proofErr w:type="spellEnd"/>
      <w:r>
        <w:t> Wurrung men and women. We teach our young ones how to scar trees, take bark, carve and decorate. We take them camping and teach them about where and how to harvest medicinal plants, find grubs and the best places to go hunting and fishing. We only use the land in a way that will make provision for future needs. We use natural resources by making traditional objects and artefacts, fishing, hunting and gathering and using plants for medicinal purposes. Through our cultural strengthening we are making traditional tools to use alongside contemporary methods.</w:t>
      </w:r>
    </w:p>
    <w:p w:rsidR="00DE6DD3" w:rsidRDefault="00DE6DD3" w:rsidP="00DE6DD3">
      <w:pPr>
        <w:pStyle w:val="Pullout"/>
      </w:pPr>
      <w:r>
        <w:t>Rodney Carter – Henry ‘Harmony’ Nelson descendant</w:t>
      </w:r>
    </w:p>
    <w:p w:rsidR="00DE6DD3" w:rsidRDefault="00DE6DD3" w:rsidP="00DE6DD3">
      <w:pPr>
        <w:pStyle w:val="Pullout"/>
      </w:pPr>
      <w:r>
        <w:t>Important tucker and medicine species can still be found across our Country. Yabbies’ (</w:t>
      </w:r>
      <w:proofErr w:type="spellStart"/>
      <w:r>
        <w:t>yapitj</w:t>
      </w:r>
      <w:proofErr w:type="spellEnd"/>
      <w:r>
        <w:t>), Murray Cod (</w:t>
      </w:r>
      <w:proofErr w:type="spellStart"/>
      <w:r>
        <w:t>wirrap</w:t>
      </w:r>
      <w:proofErr w:type="spellEnd"/>
      <w:r>
        <w:t>) and Blackfish (</w:t>
      </w:r>
      <w:proofErr w:type="spellStart"/>
      <w:r>
        <w:t>wulk</w:t>
      </w:r>
      <w:proofErr w:type="spellEnd"/>
      <w:r>
        <w:t>), Possum (</w:t>
      </w:r>
      <w:proofErr w:type="spellStart"/>
      <w:r>
        <w:t>wila</w:t>
      </w:r>
      <w:proofErr w:type="spellEnd"/>
      <w:r>
        <w:t>) and Kangaroo (</w:t>
      </w:r>
      <w:proofErr w:type="spellStart"/>
      <w:r>
        <w:t>kurri</w:t>
      </w:r>
      <w:proofErr w:type="spellEnd"/>
      <w:r>
        <w:t xml:space="preserve">) are really important to </w:t>
      </w:r>
      <w:proofErr w:type="spellStart"/>
      <w:r>
        <w:t>Djaara</w:t>
      </w:r>
      <w:proofErr w:type="spellEnd"/>
      <w:r>
        <w:t xml:space="preserve"> and also to the ancestors. For example the areas around the townships of Dunolly, Maryborough, and St Arnaud have place names such</w:t>
      </w:r>
      <w:r w:rsidR="0016026A">
        <w:t xml:space="preserve"> as </w:t>
      </w:r>
      <w:proofErr w:type="spellStart"/>
      <w:r w:rsidR="0016026A">
        <w:t>Leakuribur</w:t>
      </w:r>
      <w:proofErr w:type="spellEnd"/>
      <w:r w:rsidR="0016026A">
        <w:t xml:space="preserve"> (</w:t>
      </w:r>
      <w:proofErr w:type="spellStart"/>
      <w:r w:rsidR="0016026A">
        <w:t>lia-kurri-barr</w:t>
      </w:r>
      <w:proofErr w:type="spellEnd"/>
      <w:r w:rsidR="0016026A">
        <w:t xml:space="preserve">) </w:t>
      </w:r>
      <w:r>
        <w:t>meaning the creek where kangaroos eat, Laanecoorie (</w:t>
      </w:r>
      <w:proofErr w:type="spellStart"/>
      <w:r>
        <w:t>Laani-kurri</w:t>
      </w:r>
      <w:proofErr w:type="spellEnd"/>
      <w:r>
        <w:t>) meaning place/habitat of the kangaroo and a small township called Kooreh (</w:t>
      </w:r>
      <w:proofErr w:type="spellStart"/>
      <w:r>
        <w:t>kurri</w:t>
      </w:r>
      <w:proofErr w:type="spellEnd"/>
      <w:r>
        <w:t xml:space="preserve">) which is the word for eastern Grey kangaroo. This reflects the environment and what was available on these certain parts of </w:t>
      </w:r>
      <w:proofErr w:type="spellStart"/>
      <w:r>
        <w:t>Djaara</w:t>
      </w:r>
      <w:proofErr w:type="spellEnd"/>
      <w:r>
        <w:t xml:space="preserve"> country. We also have a place name near Mt </w:t>
      </w:r>
      <w:proofErr w:type="spellStart"/>
      <w:r>
        <w:t>Kooyoora</w:t>
      </w:r>
      <w:proofErr w:type="spellEnd"/>
      <w:r>
        <w:t xml:space="preserve"> called </w:t>
      </w:r>
      <w:proofErr w:type="spellStart"/>
      <w:r>
        <w:t>Wehla</w:t>
      </w:r>
      <w:proofErr w:type="spellEnd"/>
      <w:r>
        <w:t xml:space="preserve"> (</w:t>
      </w:r>
      <w:proofErr w:type="spellStart"/>
      <w:r>
        <w:t>wila</w:t>
      </w:r>
      <w:proofErr w:type="spellEnd"/>
      <w:r>
        <w:t>), which is our word for brush tail possum. Possums are important because our ancestors needed them to make possum skin cloaks (</w:t>
      </w:r>
      <w:proofErr w:type="spellStart"/>
      <w:r>
        <w:t>djarun</w:t>
      </w:r>
      <w:proofErr w:type="spellEnd"/>
      <w:r>
        <w:t xml:space="preserve">) to keep warm in the cold season. Like our ancestors, today we make cloaks that also contain artwork recording of our stories, culture and law. </w:t>
      </w:r>
    </w:p>
    <w:p w:rsidR="00DE6DD3" w:rsidRDefault="00DE6DD3" w:rsidP="00DE6DD3">
      <w:pPr>
        <w:pStyle w:val="Pullout"/>
      </w:pPr>
      <w:r>
        <w:t>Harley Dunolly – Thomas Dunolly descendant</w:t>
      </w:r>
    </w:p>
    <w:p w:rsidR="00DE6DD3" w:rsidRDefault="00DE6DD3" w:rsidP="00DE6DD3">
      <w:pPr>
        <w:pStyle w:val="Body"/>
      </w:pPr>
      <w:r>
        <w:t xml:space="preserve">This page gives more detailed information about </w:t>
      </w:r>
      <w:proofErr w:type="spellStart"/>
      <w:r>
        <w:t>Dja</w:t>
      </w:r>
      <w:proofErr w:type="spellEnd"/>
      <w:r>
        <w:t xml:space="preserve"> </w:t>
      </w:r>
      <w:proofErr w:type="spellStart"/>
      <w:r>
        <w:t>Dja</w:t>
      </w:r>
      <w:proofErr w:type="spellEnd"/>
      <w:r>
        <w:t xml:space="preserve"> Wurrung hunting and fishing rights under the Recognition and Settlement Agreement. Please see the Introduction page for important general information about your rights before you read this page.</w:t>
      </w:r>
    </w:p>
    <w:p w:rsidR="00DE6DD3" w:rsidRDefault="00DE6DD3" w:rsidP="00DE6DD3">
      <w:pPr>
        <w:pStyle w:val="Body"/>
      </w:pPr>
      <w:r>
        <w:t>Note that you need to have your Verification Card with you whenever you are hunting or fishing under these Traditional Owner rights. When you’re hunting, you also need to carry your Firearms Licence at all times.</w:t>
      </w:r>
    </w:p>
    <w:p w:rsidR="000A5541" w:rsidRDefault="000A5541" w:rsidP="000A5541">
      <w:pPr>
        <w:pStyle w:val="HB"/>
      </w:pPr>
      <w:r>
        <w:t xml:space="preserve">Reporting </w:t>
      </w:r>
    </w:p>
    <w:p w:rsidR="000A5541" w:rsidRDefault="000A5541" w:rsidP="000A5541">
      <w:pPr>
        <w:pStyle w:val="Body"/>
      </w:pPr>
      <w:r>
        <w:t xml:space="preserve">You need to report back to the </w:t>
      </w:r>
      <w:proofErr w:type="spellStart"/>
      <w:r>
        <w:t>Dja</w:t>
      </w:r>
      <w:proofErr w:type="spellEnd"/>
      <w:r>
        <w:t xml:space="preserve"> </w:t>
      </w:r>
      <w:proofErr w:type="spellStart"/>
      <w:r>
        <w:t>Dja</w:t>
      </w:r>
      <w:proofErr w:type="spellEnd"/>
      <w:r>
        <w:t xml:space="preserve"> Wurrung Clans Aboriginal Corporation the number you’ve hunted each month. Limits apply to all </w:t>
      </w:r>
      <w:proofErr w:type="spellStart"/>
      <w:r>
        <w:t>Dja</w:t>
      </w:r>
      <w:proofErr w:type="spellEnd"/>
      <w:r>
        <w:t xml:space="preserve"> </w:t>
      </w:r>
      <w:proofErr w:type="spellStart"/>
      <w:r>
        <w:t>Dja</w:t>
      </w:r>
      <w:proofErr w:type="spellEnd"/>
      <w:r>
        <w:t xml:space="preserve"> Wurrung together, so check with the Corporation before you hunt. We will report the total amounts and work with the government to ensure that the amounts taken each year are sustainable.</w:t>
      </w:r>
    </w:p>
    <w:p w:rsidR="00DE6DD3" w:rsidRDefault="00DE6DD3" w:rsidP="00DE6DD3">
      <w:pPr>
        <w:pStyle w:val="HA"/>
        <w:spacing w:after="360"/>
      </w:pPr>
      <w:r>
        <w:t>Fishing</w:t>
      </w:r>
    </w:p>
    <w:p w:rsidR="00DE6DD3" w:rsidRDefault="00DE6DD3" w:rsidP="00DE6DD3">
      <w:pPr>
        <w:pStyle w:val="Body"/>
      </w:pPr>
      <w:r>
        <w:t xml:space="preserve">You can now catch and keep certain fish from waterways on </w:t>
      </w:r>
      <w:proofErr w:type="spellStart"/>
      <w:r>
        <w:t>Dja</w:t>
      </w:r>
      <w:proofErr w:type="spellEnd"/>
      <w:r>
        <w:t xml:space="preserve"> </w:t>
      </w:r>
      <w:proofErr w:type="spellStart"/>
      <w:r>
        <w:t>Dja</w:t>
      </w:r>
      <w:proofErr w:type="spellEnd"/>
      <w:r>
        <w:t xml:space="preserve"> Wurrung land without needing a recreational fishing licence. Secondly, under the Order, you can take and keep fish to meet your needs, your family’s needs or the non-commercial needs of your community. You can’t take them for commercial purposes, such as running a business selling fish. </w:t>
      </w:r>
    </w:p>
    <w:p w:rsidR="00502FE5" w:rsidRDefault="00DE6DD3" w:rsidP="007429A1">
      <w:pPr>
        <w:pStyle w:val="Body"/>
      </w:pPr>
      <w:r>
        <w:t xml:space="preserve">You also need to follow the usual rules and catch limits set out in the </w:t>
      </w:r>
      <w:r>
        <w:rPr>
          <w:i/>
        </w:rPr>
        <w:t>Victorian Recreational Fishing Guide</w:t>
      </w:r>
      <w:r>
        <w:t xml:space="preserve"> booklet or mobile app. Both can be found at the </w:t>
      </w:r>
      <w:r>
        <w:lastRenderedPageBreak/>
        <w:t xml:space="preserve">Recreational Fishing Guide page on the Department of </w:t>
      </w:r>
      <w:r w:rsidR="00B5312C">
        <w:t>Economic Development, Jobs, Transport and Resources</w:t>
      </w:r>
      <w:r>
        <w:t xml:space="preserve"> website.</w:t>
      </w:r>
      <w:r w:rsidR="00795920">
        <w:t xml:space="preserve"> A link to the website are provided at the end of this </w:t>
      </w:r>
      <w:proofErr w:type="spellStart"/>
      <w:r w:rsidR="00795920">
        <w:t>infosheet</w:t>
      </w:r>
      <w:proofErr w:type="spellEnd"/>
      <w:r w:rsidR="00795920">
        <w:t>.</w:t>
      </w:r>
    </w:p>
    <w:p w:rsidR="00DE6DD3" w:rsidRDefault="00DE6DD3" w:rsidP="00DE6DD3">
      <w:pPr>
        <w:pStyle w:val="HB"/>
      </w:pPr>
      <w:r>
        <w:t>Fishing in National Parks</w:t>
      </w:r>
      <w:r w:rsidR="00046D45">
        <w:t xml:space="preserve"> and State Parks</w:t>
      </w:r>
    </w:p>
    <w:p w:rsidR="00DE6DD3" w:rsidRDefault="00DE6DD3" w:rsidP="00DE6DD3">
      <w:pPr>
        <w:pStyle w:val="Body"/>
      </w:pPr>
      <w:r>
        <w:t xml:space="preserve">Under the National Parks Regulations 2013, </w:t>
      </w:r>
      <w:proofErr w:type="spellStart"/>
      <w:r>
        <w:t>Dja</w:t>
      </w:r>
      <w:proofErr w:type="spellEnd"/>
      <w:r>
        <w:t xml:space="preserve"> </w:t>
      </w:r>
      <w:proofErr w:type="spellStart"/>
      <w:r>
        <w:t>Dja</w:t>
      </w:r>
      <w:proofErr w:type="spellEnd"/>
      <w:r>
        <w:t xml:space="preserve"> Wurrung people can generally catch fish from the national parks within </w:t>
      </w:r>
      <w:proofErr w:type="spellStart"/>
      <w:r>
        <w:t>Dja</w:t>
      </w:r>
      <w:proofErr w:type="spellEnd"/>
      <w:r>
        <w:t xml:space="preserve"> </w:t>
      </w:r>
      <w:proofErr w:type="spellStart"/>
      <w:r>
        <w:t>Dja</w:t>
      </w:r>
      <w:proofErr w:type="spellEnd"/>
      <w:r>
        <w:t xml:space="preserve"> Wurrung Country. As with other exemptions for Traditional Owners in National Parks, you can only catch fish when following an Aboriginal Tradition. </w:t>
      </w:r>
    </w:p>
    <w:p w:rsidR="00B17B04" w:rsidRDefault="00B17B04" w:rsidP="00DE6DD3">
      <w:pPr>
        <w:pStyle w:val="HA"/>
        <w:spacing w:after="360"/>
      </w:pPr>
      <w:r>
        <w:t>Hunting</w:t>
      </w:r>
    </w:p>
    <w:p w:rsidR="00DE6DD3" w:rsidRDefault="00DE6DD3" w:rsidP="00B17B04">
      <w:pPr>
        <w:pStyle w:val="HB"/>
      </w:pPr>
      <w:r>
        <w:t>What can I hunt?</w:t>
      </w:r>
    </w:p>
    <w:p w:rsidR="00DE6DD3" w:rsidRDefault="00DE6DD3" w:rsidP="00DE6DD3">
      <w:pPr>
        <w:pStyle w:val="Body"/>
      </w:pPr>
      <w:r>
        <w:t xml:space="preserve">There are different rules that apply to hunting </w:t>
      </w:r>
      <w:r>
        <w:rPr>
          <w:b/>
        </w:rPr>
        <w:t>“game”</w:t>
      </w:r>
      <w:r>
        <w:t xml:space="preserve"> species (such as some species of duck, deer, </w:t>
      </w:r>
      <w:proofErr w:type="spellStart"/>
      <w:r>
        <w:t>etc</w:t>
      </w:r>
      <w:proofErr w:type="spellEnd"/>
      <w:r>
        <w:t xml:space="preserve">) and </w:t>
      </w:r>
      <w:r>
        <w:rPr>
          <w:b/>
        </w:rPr>
        <w:t>“non-game”</w:t>
      </w:r>
      <w:r>
        <w:t xml:space="preserve"> species of native animals and birds. </w:t>
      </w:r>
      <w:r>
        <w:rPr>
          <w:b/>
        </w:rPr>
        <w:t>Pest</w:t>
      </w:r>
      <w:r>
        <w:t xml:space="preserve"> animals (rabbits, foxes, and feral dogs, goats and pigs) can also be hunted in certain areas (see below).</w:t>
      </w:r>
    </w:p>
    <w:p w:rsidR="00DE6DD3" w:rsidRDefault="00DE6DD3" w:rsidP="00DE6DD3">
      <w:pPr>
        <w:pStyle w:val="Body"/>
      </w:pPr>
      <w:r>
        <w:t xml:space="preserve">You can now hunt </w:t>
      </w:r>
      <w:r>
        <w:rPr>
          <w:b/>
        </w:rPr>
        <w:t>eastern grey kangaroos</w:t>
      </w:r>
      <w:r>
        <w:t xml:space="preserve"> and </w:t>
      </w:r>
      <w:r>
        <w:rPr>
          <w:b/>
        </w:rPr>
        <w:t xml:space="preserve">common </w:t>
      </w:r>
      <w:proofErr w:type="spellStart"/>
      <w:r>
        <w:rPr>
          <w:b/>
        </w:rPr>
        <w:t>brushtail</w:t>
      </w:r>
      <w:proofErr w:type="spellEnd"/>
      <w:r>
        <w:rPr>
          <w:b/>
        </w:rPr>
        <w:t xml:space="preserve"> possums</w:t>
      </w:r>
      <w:r>
        <w:t xml:space="preserve"> on certain types of public land, up to the number shown per year in the table below. This limit is for all </w:t>
      </w:r>
      <w:proofErr w:type="spellStart"/>
      <w:r>
        <w:t>Dja</w:t>
      </w:r>
      <w:proofErr w:type="spellEnd"/>
      <w:r>
        <w:t xml:space="preserve"> </w:t>
      </w:r>
      <w:proofErr w:type="spellStart"/>
      <w:r>
        <w:t>Dja</w:t>
      </w:r>
      <w:proofErr w:type="spellEnd"/>
      <w:r>
        <w:t xml:space="preserve"> Wurrung people together, so it’s important to check with the Corporation before you hunt and to report back to us the number you’ve hunted each month.</w:t>
      </w:r>
    </w:p>
    <w:tbl>
      <w:tblPr>
        <w:tblW w:w="4965" w:type="dxa"/>
        <w:tblInd w:w="-34" w:type="dxa"/>
        <w:tblBorders>
          <w:top w:val="single" w:sz="4" w:space="0" w:color="31849B" w:themeColor="accent5" w:themeShade="BF"/>
          <w:bottom w:val="single" w:sz="4" w:space="0" w:color="31849B" w:themeColor="accent5" w:themeShade="BF"/>
          <w:insideH w:val="single" w:sz="4" w:space="0" w:color="31849B" w:themeColor="accent5" w:themeShade="BF"/>
        </w:tblBorders>
        <w:tblLayout w:type="fixed"/>
        <w:tblLook w:val="04A0" w:firstRow="1" w:lastRow="0" w:firstColumn="1" w:lastColumn="0" w:noHBand="0" w:noVBand="1"/>
      </w:tblPr>
      <w:tblGrid>
        <w:gridCol w:w="2554"/>
        <w:gridCol w:w="273"/>
        <w:gridCol w:w="2138"/>
      </w:tblGrid>
      <w:tr w:rsidR="00DE6DD3" w:rsidTr="00B17B04">
        <w:tc>
          <w:tcPr>
            <w:tcW w:w="2554" w:type="dxa"/>
            <w:tcBorders>
              <w:top w:val="single" w:sz="4" w:space="0" w:color="31849B" w:themeColor="accent5" w:themeShade="BF"/>
              <w:left w:val="nil"/>
              <w:bottom w:val="single" w:sz="4" w:space="0" w:color="31849B" w:themeColor="accent5" w:themeShade="BF"/>
              <w:right w:val="nil"/>
            </w:tcBorders>
            <w:shd w:val="clear" w:color="auto" w:fill="31849B" w:themeFill="accent5" w:themeFillShade="BF"/>
            <w:vAlign w:val="center"/>
            <w:hideMark/>
          </w:tcPr>
          <w:p w:rsidR="00DE6DD3" w:rsidRDefault="00DE6DD3">
            <w:pPr>
              <w:pStyle w:val="TblHd"/>
              <w:rPr>
                <w:color w:val="FFFFFF" w:themeColor="background1"/>
              </w:rPr>
            </w:pPr>
            <w:r>
              <w:rPr>
                <w:color w:val="FFFFFF" w:themeColor="background1"/>
              </w:rPr>
              <w:t>Species</w:t>
            </w:r>
          </w:p>
        </w:tc>
        <w:tc>
          <w:tcPr>
            <w:tcW w:w="2411" w:type="dxa"/>
            <w:gridSpan w:val="2"/>
            <w:tcBorders>
              <w:top w:val="single" w:sz="4" w:space="0" w:color="31849B" w:themeColor="accent5" w:themeShade="BF"/>
              <w:left w:val="nil"/>
              <w:bottom w:val="single" w:sz="4" w:space="0" w:color="31849B" w:themeColor="accent5" w:themeShade="BF"/>
              <w:right w:val="nil"/>
            </w:tcBorders>
            <w:shd w:val="clear" w:color="auto" w:fill="31849B" w:themeFill="accent5" w:themeFillShade="BF"/>
            <w:vAlign w:val="center"/>
            <w:hideMark/>
          </w:tcPr>
          <w:p w:rsidR="00DE6DD3" w:rsidRDefault="00DE6DD3">
            <w:pPr>
              <w:pStyle w:val="TblHd"/>
              <w:rPr>
                <w:color w:val="FFFFFF" w:themeColor="background1"/>
              </w:rPr>
            </w:pPr>
            <w:r>
              <w:rPr>
                <w:color w:val="FFFFFF" w:themeColor="background1"/>
              </w:rPr>
              <w:t>Limit (</w:t>
            </w:r>
            <w:proofErr w:type="spellStart"/>
            <w:r>
              <w:rPr>
                <w:color w:val="FFFFFF" w:themeColor="background1"/>
              </w:rPr>
              <w:t>Dja</w:t>
            </w:r>
            <w:proofErr w:type="spellEnd"/>
            <w:r>
              <w:rPr>
                <w:color w:val="FFFFFF" w:themeColor="background1"/>
              </w:rPr>
              <w:t xml:space="preserve"> </w:t>
            </w:r>
            <w:proofErr w:type="spellStart"/>
            <w:r>
              <w:rPr>
                <w:color w:val="FFFFFF" w:themeColor="background1"/>
              </w:rPr>
              <w:t>Dja</w:t>
            </w:r>
            <w:proofErr w:type="spellEnd"/>
            <w:r>
              <w:rPr>
                <w:color w:val="FFFFFF" w:themeColor="background1"/>
              </w:rPr>
              <w:t xml:space="preserve"> Wurrung people as a whole)</w:t>
            </w:r>
          </w:p>
        </w:tc>
      </w:tr>
      <w:tr w:rsidR="00DE6DD3" w:rsidTr="00B17B04">
        <w:tc>
          <w:tcPr>
            <w:tcW w:w="2827" w:type="dxa"/>
            <w:gridSpan w:val="2"/>
            <w:tcBorders>
              <w:top w:val="single" w:sz="4" w:space="0" w:color="31849B" w:themeColor="accent5" w:themeShade="BF"/>
              <w:left w:val="nil"/>
              <w:bottom w:val="single" w:sz="4" w:space="0" w:color="31849B" w:themeColor="accent5" w:themeShade="BF"/>
              <w:right w:val="nil"/>
            </w:tcBorders>
            <w:vAlign w:val="center"/>
            <w:hideMark/>
          </w:tcPr>
          <w:p w:rsidR="00DE6DD3" w:rsidRDefault="00DE6DD3">
            <w:pPr>
              <w:pStyle w:val="Tabletext"/>
              <w:rPr>
                <w:color w:val="000000" w:themeColor="text1"/>
                <w:sz w:val="20"/>
                <w:szCs w:val="20"/>
              </w:rPr>
            </w:pPr>
            <w:r>
              <w:rPr>
                <w:color w:val="000000" w:themeColor="text1"/>
                <w:sz w:val="20"/>
                <w:szCs w:val="20"/>
              </w:rPr>
              <w:t>Eastern Grey Kangaroo</w:t>
            </w:r>
          </w:p>
        </w:tc>
        <w:tc>
          <w:tcPr>
            <w:tcW w:w="2138" w:type="dxa"/>
            <w:tcBorders>
              <w:top w:val="single" w:sz="4" w:space="0" w:color="31849B" w:themeColor="accent5" w:themeShade="BF"/>
              <w:left w:val="nil"/>
              <w:bottom w:val="single" w:sz="4" w:space="0" w:color="31849B" w:themeColor="accent5" w:themeShade="BF"/>
              <w:right w:val="nil"/>
            </w:tcBorders>
            <w:vAlign w:val="center"/>
            <w:hideMark/>
          </w:tcPr>
          <w:p w:rsidR="00DE6DD3" w:rsidRDefault="00DE6DD3">
            <w:pPr>
              <w:pStyle w:val="Tabletext"/>
              <w:rPr>
                <w:color w:val="000000" w:themeColor="text1"/>
                <w:sz w:val="20"/>
                <w:szCs w:val="20"/>
              </w:rPr>
            </w:pPr>
            <w:r>
              <w:rPr>
                <w:color w:val="000000" w:themeColor="text1"/>
                <w:sz w:val="20"/>
                <w:szCs w:val="20"/>
              </w:rPr>
              <w:t>200 per year</w:t>
            </w:r>
          </w:p>
        </w:tc>
      </w:tr>
      <w:tr w:rsidR="00DE6DD3" w:rsidTr="00B17B04">
        <w:tc>
          <w:tcPr>
            <w:tcW w:w="2827" w:type="dxa"/>
            <w:gridSpan w:val="2"/>
            <w:tcBorders>
              <w:top w:val="single" w:sz="4" w:space="0" w:color="31849B" w:themeColor="accent5" w:themeShade="BF"/>
              <w:left w:val="nil"/>
              <w:bottom w:val="single" w:sz="4" w:space="0" w:color="31849B" w:themeColor="accent5" w:themeShade="BF"/>
              <w:right w:val="nil"/>
            </w:tcBorders>
            <w:vAlign w:val="center"/>
            <w:hideMark/>
          </w:tcPr>
          <w:p w:rsidR="00DE6DD3" w:rsidRDefault="00DE6DD3">
            <w:pPr>
              <w:pStyle w:val="Tabletext"/>
              <w:rPr>
                <w:color w:val="000000" w:themeColor="text1"/>
                <w:sz w:val="20"/>
                <w:szCs w:val="20"/>
              </w:rPr>
            </w:pPr>
            <w:r>
              <w:rPr>
                <w:color w:val="000000" w:themeColor="text1"/>
                <w:sz w:val="20"/>
                <w:szCs w:val="20"/>
              </w:rPr>
              <w:t xml:space="preserve">Common </w:t>
            </w:r>
            <w:proofErr w:type="spellStart"/>
            <w:r>
              <w:rPr>
                <w:color w:val="000000" w:themeColor="text1"/>
                <w:sz w:val="20"/>
                <w:szCs w:val="20"/>
              </w:rPr>
              <w:t>Brushtail</w:t>
            </w:r>
            <w:proofErr w:type="spellEnd"/>
            <w:r>
              <w:rPr>
                <w:color w:val="000000" w:themeColor="text1"/>
                <w:sz w:val="20"/>
                <w:szCs w:val="20"/>
              </w:rPr>
              <w:t xml:space="preserve"> Possum</w:t>
            </w:r>
          </w:p>
        </w:tc>
        <w:tc>
          <w:tcPr>
            <w:tcW w:w="2138" w:type="dxa"/>
            <w:tcBorders>
              <w:top w:val="single" w:sz="4" w:space="0" w:color="31849B" w:themeColor="accent5" w:themeShade="BF"/>
              <w:left w:val="nil"/>
              <w:bottom w:val="single" w:sz="4" w:space="0" w:color="31849B" w:themeColor="accent5" w:themeShade="BF"/>
              <w:right w:val="nil"/>
            </w:tcBorders>
            <w:vAlign w:val="center"/>
            <w:hideMark/>
          </w:tcPr>
          <w:p w:rsidR="00DE6DD3" w:rsidRDefault="00DE6DD3">
            <w:pPr>
              <w:pStyle w:val="Tabletext"/>
              <w:rPr>
                <w:color w:val="000000" w:themeColor="text1"/>
                <w:sz w:val="20"/>
                <w:szCs w:val="20"/>
              </w:rPr>
            </w:pPr>
            <w:r>
              <w:rPr>
                <w:color w:val="000000" w:themeColor="text1"/>
                <w:sz w:val="20"/>
                <w:szCs w:val="20"/>
              </w:rPr>
              <w:t>50 per year</w:t>
            </w:r>
          </w:p>
        </w:tc>
      </w:tr>
    </w:tbl>
    <w:p w:rsidR="00DE6DD3" w:rsidRDefault="00DE6DD3" w:rsidP="00DE6DD3">
      <w:pPr>
        <w:pStyle w:val="Body"/>
      </w:pPr>
      <w:r>
        <w:t xml:space="preserve">You can also hunt the following </w:t>
      </w:r>
      <w:r>
        <w:rPr>
          <w:b/>
        </w:rPr>
        <w:t xml:space="preserve">native birds </w:t>
      </w:r>
      <w:r>
        <w:t xml:space="preserve">up to the number shown per year in the table below. They must be adult birds, and you must not take them from a nest or hollow. Again, the limits apply to all </w:t>
      </w:r>
      <w:proofErr w:type="spellStart"/>
      <w:r>
        <w:t>Dja</w:t>
      </w:r>
      <w:proofErr w:type="spellEnd"/>
      <w:r>
        <w:t xml:space="preserve"> </w:t>
      </w:r>
      <w:proofErr w:type="spellStart"/>
      <w:r>
        <w:t>Dja</w:t>
      </w:r>
      <w:proofErr w:type="spellEnd"/>
      <w:r>
        <w:t xml:space="preserve"> Wurrung together, so check with the Corporation before you hunt and report back to us the number you’ve hunted each month.</w:t>
      </w:r>
    </w:p>
    <w:tbl>
      <w:tblPr>
        <w:tblStyle w:val="LightList-Accent5"/>
        <w:tblW w:w="4935" w:type="dxa"/>
        <w:tblInd w:w="0" w:type="dxa"/>
        <w:tblBorders>
          <w:top w:val="none" w:sz="0" w:space="0" w:color="auto"/>
          <w:left w:val="none" w:sz="0" w:space="0" w:color="auto"/>
          <w:bottom w:val="single" w:sz="4" w:space="0" w:color="auto"/>
          <w:right w:val="none" w:sz="0" w:space="0" w:color="auto"/>
          <w:insideH w:val="single" w:sz="4" w:space="0" w:color="auto"/>
        </w:tblBorders>
        <w:tblLayout w:type="fixed"/>
        <w:tblLook w:val="04A0" w:firstRow="1" w:lastRow="0" w:firstColumn="1" w:lastColumn="0" w:noHBand="0" w:noVBand="1"/>
      </w:tblPr>
      <w:tblGrid>
        <w:gridCol w:w="2379"/>
        <w:gridCol w:w="2556"/>
      </w:tblGrid>
      <w:tr w:rsidR="00DE6DD3" w:rsidTr="00795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bottom w:val="single" w:sz="8" w:space="0" w:color="31849B" w:themeColor="accent5" w:themeShade="BF"/>
              <w:right w:val="nil"/>
            </w:tcBorders>
            <w:shd w:val="clear" w:color="auto" w:fill="31849B" w:themeFill="accent5" w:themeFillShade="BF"/>
            <w:hideMark/>
          </w:tcPr>
          <w:p w:rsidR="00DE6DD3" w:rsidRDefault="00DE6DD3">
            <w:pPr>
              <w:pStyle w:val="TblHd"/>
            </w:pPr>
            <w:r>
              <w:t>Species</w:t>
            </w:r>
          </w:p>
        </w:tc>
        <w:tc>
          <w:tcPr>
            <w:tcW w:w="2552" w:type="dxa"/>
            <w:tcBorders>
              <w:top w:val="nil"/>
              <w:left w:val="nil"/>
              <w:bottom w:val="single" w:sz="8" w:space="0" w:color="31849B" w:themeColor="accent5" w:themeShade="BF"/>
              <w:right w:val="nil"/>
            </w:tcBorders>
            <w:shd w:val="clear" w:color="auto" w:fill="31849B" w:themeFill="accent5" w:themeFillShade="BF"/>
            <w:hideMark/>
          </w:tcPr>
          <w:p w:rsidR="00DE6DD3" w:rsidRDefault="00DE6DD3">
            <w:pPr>
              <w:pStyle w:val="TblHd"/>
              <w:cnfStyle w:val="100000000000" w:firstRow="1" w:lastRow="0" w:firstColumn="0" w:lastColumn="0" w:oddVBand="0" w:evenVBand="0" w:oddHBand="0" w:evenHBand="0" w:firstRowFirstColumn="0" w:firstRowLastColumn="0" w:lastRowFirstColumn="0" w:lastRowLastColumn="0"/>
            </w:pPr>
            <w:r>
              <w:t>Limit (</w:t>
            </w:r>
            <w:proofErr w:type="spellStart"/>
            <w:r>
              <w:t>Dja</w:t>
            </w:r>
            <w:proofErr w:type="spellEnd"/>
            <w:r>
              <w:t xml:space="preserve"> </w:t>
            </w:r>
            <w:proofErr w:type="spellStart"/>
            <w:r>
              <w:t>Dja</w:t>
            </w:r>
            <w:proofErr w:type="spellEnd"/>
            <w:r>
              <w:t xml:space="preserve"> Wurrung people as a whole)</w:t>
            </w:r>
          </w:p>
        </w:tc>
      </w:tr>
      <w:tr w:rsidR="00DE6DD3" w:rsidTr="0079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31849B" w:themeColor="accent5" w:themeShade="BF"/>
              <w:left w:val="nil"/>
              <w:bottom w:val="single" w:sz="8" w:space="0" w:color="31849B" w:themeColor="accent5" w:themeShade="BF"/>
              <w:right w:val="nil"/>
            </w:tcBorders>
            <w:hideMark/>
          </w:tcPr>
          <w:p w:rsidR="00DE6DD3" w:rsidRDefault="00DE6DD3">
            <w:pPr>
              <w:pStyle w:val="Tabletext"/>
            </w:pPr>
            <w:r>
              <w:t xml:space="preserve">Little </w:t>
            </w:r>
            <w:proofErr w:type="spellStart"/>
            <w:r>
              <w:t>Corella</w:t>
            </w:r>
            <w:proofErr w:type="spellEnd"/>
          </w:p>
        </w:tc>
        <w:tc>
          <w:tcPr>
            <w:tcW w:w="2552" w:type="dxa"/>
            <w:tcBorders>
              <w:top w:val="single" w:sz="8" w:space="0" w:color="31849B" w:themeColor="accent5" w:themeShade="BF"/>
              <w:left w:val="nil"/>
              <w:bottom w:val="single" w:sz="8" w:space="0" w:color="31849B" w:themeColor="accent5" w:themeShade="BF"/>
              <w:right w:val="nil"/>
            </w:tcBorders>
            <w:hideMark/>
          </w:tcPr>
          <w:p w:rsidR="00DE6DD3" w:rsidRDefault="00DE6DD3">
            <w:pPr>
              <w:pStyle w:val="Tabletext"/>
              <w:cnfStyle w:val="000000100000" w:firstRow="0" w:lastRow="0" w:firstColumn="0" w:lastColumn="0" w:oddVBand="0" w:evenVBand="0" w:oddHBand="1" w:evenHBand="0" w:firstRowFirstColumn="0" w:firstRowLastColumn="0" w:lastRowFirstColumn="0" w:lastRowLastColumn="0"/>
            </w:pPr>
            <w:r>
              <w:t xml:space="preserve">50 per year </w:t>
            </w:r>
          </w:p>
        </w:tc>
      </w:tr>
      <w:tr w:rsidR="00DE6DD3" w:rsidTr="00795920">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31849B" w:themeColor="accent5" w:themeShade="BF"/>
              <w:left w:val="nil"/>
              <w:bottom w:val="single" w:sz="8" w:space="0" w:color="31849B" w:themeColor="accent5" w:themeShade="BF"/>
              <w:right w:val="nil"/>
            </w:tcBorders>
            <w:hideMark/>
          </w:tcPr>
          <w:p w:rsidR="00DE6DD3" w:rsidRDefault="00DE6DD3">
            <w:pPr>
              <w:pStyle w:val="Tabletext"/>
            </w:pPr>
            <w:r>
              <w:t>Crested Pigeon</w:t>
            </w:r>
          </w:p>
        </w:tc>
        <w:tc>
          <w:tcPr>
            <w:tcW w:w="2552" w:type="dxa"/>
            <w:tcBorders>
              <w:top w:val="single" w:sz="8" w:space="0" w:color="31849B" w:themeColor="accent5" w:themeShade="BF"/>
              <w:left w:val="nil"/>
              <w:bottom w:val="single" w:sz="8" w:space="0" w:color="31849B" w:themeColor="accent5" w:themeShade="BF"/>
              <w:right w:val="nil"/>
            </w:tcBorders>
            <w:hideMark/>
          </w:tcPr>
          <w:p w:rsidR="00DE6DD3" w:rsidRDefault="00DE6DD3">
            <w:pPr>
              <w:pStyle w:val="Tabletext"/>
              <w:cnfStyle w:val="000000000000" w:firstRow="0" w:lastRow="0" w:firstColumn="0" w:lastColumn="0" w:oddVBand="0" w:evenVBand="0" w:oddHBand="0" w:evenHBand="0" w:firstRowFirstColumn="0" w:firstRowLastColumn="0" w:lastRowFirstColumn="0" w:lastRowLastColumn="0"/>
            </w:pPr>
            <w:r>
              <w:t>100 per year</w:t>
            </w:r>
          </w:p>
        </w:tc>
      </w:tr>
      <w:tr w:rsidR="00DE6DD3" w:rsidTr="0079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31849B" w:themeColor="accent5" w:themeShade="BF"/>
              <w:left w:val="nil"/>
              <w:bottom w:val="single" w:sz="8" w:space="0" w:color="31849B" w:themeColor="accent5" w:themeShade="BF"/>
              <w:right w:val="nil"/>
            </w:tcBorders>
            <w:hideMark/>
          </w:tcPr>
          <w:p w:rsidR="00DE6DD3" w:rsidRDefault="00DE6DD3">
            <w:pPr>
              <w:pStyle w:val="Tabletext"/>
            </w:pPr>
            <w:proofErr w:type="spellStart"/>
            <w:r>
              <w:lastRenderedPageBreak/>
              <w:t>Sulphur</w:t>
            </w:r>
            <w:proofErr w:type="spellEnd"/>
            <w:r>
              <w:t>-crested Cockatoo</w:t>
            </w:r>
          </w:p>
        </w:tc>
        <w:tc>
          <w:tcPr>
            <w:tcW w:w="2552" w:type="dxa"/>
            <w:tcBorders>
              <w:top w:val="single" w:sz="8" w:space="0" w:color="31849B" w:themeColor="accent5" w:themeShade="BF"/>
              <w:left w:val="nil"/>
              <w:bottom w:val="single" w:sz="8" w:space="0" w:color="31849B" w:themeColor="accent5" w:themeShade="BF"/>
              <w:right w:val="nil"/>
            </w:tcBorders>
            <w:hideMark/>
          </w:tcPr>
          <w:p w:rsidR="00DE6DD3" w:rsidRDefault="00DE6DD3">
            <w:pPr>
              <w:pStyle w:val="Tabletext"/>
              <w:cnfStyle w:val="000000100000" w:firstRow="0" w:lastRow="0" w:firstColumn="0" w:lastColumn="0" w:oddVBand="0" w:evenVBand="0" w:oddHBand="1" w:evenHBand="0" w:firstRowFirstColumn="0" w:firstRowLastColumn="0" w:lastRowFirstColumn="0" w:lastRowLastColumn="0"/>
            </w:pPr>
            <w:r>
              <w:t>No Limit applies</w:t>
            </w:r>
          </w:p>
        </w:tc>
      </w:tr>
      <w:tr w:rsidR="00DE6DD3" w:rsidTr="00795920">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31849B" w:themeColor="accent5" w:themeShade="BF"/>
              <w:left w:val="nil"/>
              <w:bottom w:val="single" w:sz="8" w:space="0" w:color="31849B" w:themeColor="accent5" w:themeShade="BF"/>
              <w:right w:val="nil"/>
            </w:tcBorders>
            <w:hideMark/>
          </w:tcPr>
          <w:p w:rsidR="00DE6DD3" w:rsidRDefault="00DE6DD3">
            <w:pPr>
              <w:pStyle w:val="Tabletext"/>
            </w:pPr>
            <w:r>
              <w:t xml:space="preserve">Long-billed </w:t>
            </w:r>
            <w:proofErr w:type="spellStart"/>
            <w:r>
              <w:t>Corella</w:t>
            </w:r>
            <w:proofErr w:type="spellEnd"/>
          </w:p>
        </w:tc>
        <w:tc>
          <w:tcPr>
            <w:tcW w:w="2552" w:type="dxa"/>
            <w:tcBorders>
              <w:top w:val="single" w:sz="8" w:space="0" w:color="31849B" w:themeColor="accent5" w:themeShade="BF"/>
              <w:left w:val="nil"/>
              <w:bottom w:val="single" w:sz="8" w:space="0" w:color="31849B" w:themeColor="accent5" w:themeShade="BF"/>
              <w:right w:val="nil"/>
            </w:tcBorders>
            <w:hideMark/>
          </w:tcPr>
          <w:p w:rsidR="00DE6DD3" w:rsidRDefault="00DE6DD3">
            <w:pPr>
              <w:pStyle w:val="Tabletext"/>
              <w:cnfStyle w:val="000000000000" w:firstRow="0" w:lastRow="0" w:firstColumn="0" w:lastColumn="0" w:oddVBand="0" w:evenVBand="0" w:oddHBand="0" w:evenHBand="0" w:firstRowFirstColumn="0" w:firstRowLastColumn="0" w:lastRowFirstColumn="0" w:lastRowLastColumn="0"/>
            </w:pPr>
            <w:r>
              <w:t>No Limit applies</w:t>
            </w:r>
          </w:p>
        </w:tc>
      </w:tr>
      <w:tr w:rsidR="00DE6DD3" w:rsidTr="0079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31849B" w:themeColor="accent5" w:themeShade="BF"/>
              <w:left w:val="nil"/>
              <w:bottom w:val="single" w:sz="8" w:space="0" w:color="31849B" w:themeColor="accent5" w:themeShade="BF"/>
              <w:right w:val="nil"/>
            </w:tcBorders>
            <w:hideMark/>
          </w:tcPr>
          <w:p w:rsidR="00DE6DD3" w:rsidRDefault="00DE6DD3">
            <w:pPr>
              <w:pStyle w:val="Tabletext"/>
            </w:pPr>
            <w:proofErr w:type="spellStart"/>
            <w:r>
              <w:t>Galah</w:t>
            </w:r>
            <w:proofErr w:type="spellEnd"/>
          </w:p>
        </w:tc>
        <w:tc>
          <w:tcPr>
            <w:tcW w:w="2552" w:type="dxa"/>
            <w:tcBorders>
              <w:top w:val="single" w:sz="8" w:space="0" w:color="31849B" w:themeColor="accent5" w:themeShade="BF"/>
              <w:left w:val="nil"/>
              <w:bottom w:val="single" w:sz="8" w:space="0" w:color="31849B" w:themeColor="accent5" w:themeShade="BF"/>
              <w:right w:val="nil"/>
            </w:tcBorders>
            <w:hideMark/>
          </w:tcPr>
          <w:p w:rsidR="00DE6DD3" w:rsidRDefault="00DE6DD3">
            <w:pPr>
              <w:pStyle w:val="Tabletext"/>
              <w:cnfStyle w:val="000000100000" w:firstRow="0" w:lastRow="0" w:firstColumn="0" w:lastColumn="0" w:oddVBand="0" w:evenVBand="0" w:oddHBand="1" w:evenHBand="0" w:firstRowFirstColumn="0" w:firstRowLastColumn="0" w:lastRowFirstColumn="0" w:lastRowLastColumn="0"/>
            </w:pPr>
            <w:r>
              <w:t>No Limit applies</w:t>
            </w:r>
          </w:p>
        </w:tc>
      </w:tr>
    </w:tbl>
    <w:p w:rsidR="00DE6DD3" w:rsidRDefault="00DE6DD3" w:rsidP="00DE6DD3">
      <w:pPr>
        <w:pStyle w:val="HB"/>
      </w:pPr>
      <w:r>
        <w:t xml:space="preserve">What </w:t>
      </w:r>
      <w:r w:rsidR="00B17B04">
        <w:t>about game species</w:t>
      </w:r>
      <w:r>
        <w:t>?</w:t>
      </w:r>
    </w:p>
    <w:p w:rsidR="00DE6DD3" w:rsidRDefault="00DE6DD3" w:rsidP="00DE6DD3">
      <w:pPr>
        <w:pStyle w:val="Body"/>
      </w:pPr>
      <w:r>
        <w:t xml:space="preserve">You can now hunt game birds and </w:t>
      </w:r>
      <w:r w:rsidR="00D01BC5">
        <w:t xml:space="preserve">certain </w:t>
      </w:r>
      <w:r>
        <w:t>deer without a Game Licence. You still need to follow all the usual rules, including:</w:t>
      </w:r>
    </w:p>
    <w:p w:rsidR="00DE6DD3" w:rsidRDefault="00DE6DD3" w:rsidP="00DE6DD3">
      <w:pPr>
        <w:pStyle w:val="Bullet"/>
        <w:numPr>
          <w:ilvl w:val="0"/>
          <w:numId w:val="23"/>
        </w:numPr>
        <w:ind w:left="567" w:hanging="425"/>
      </w:pPr>
      <w:r>
        <w:t xml:space="preserve">open and closed seasons </w:t>
      </w:r>
    </w:p>
    <w:p w:rsidR="00DE6DD3" w:rsidRDefault="00DE6DD3" w:rsidP="00DE6DD3">
      <w:pPr>
        <w:pStyle w:val="Bullet"/>
        <w:numPr>
          <w:ilvl w:val="0"/>
          <w:numId w:val="23"/>
        </w:numPr>
        <w:ind w:left="567" w:hanging="425"/>
      </w:pPr>
      <w:r>
        <w:t xml:space="preserve">bag limits </w:t>
      </w:r>
    </w:p>
    <w:p w:rsidR="00DE6DD3" w:rsidRDefault="00DE6DD3" w:rsidP="00DE6DD3">
      <w:pPr>
        <w:pStyle w:val="Bullet"/>
        <w:numPr>
          <w:ilvl w:val="0"/>
          <w:numId w:val="23"/>
        </w:numPr>
        <w:ind w:left="567" w:hanging="425"/>
      </w:pPr>
      <w:r>
        <w:t xml:space="preserve">approved methods of take </w:t>
      </w:r>
    </w:p>
    <w:p w:rsidR="00DE6DD3" w:rsidRDefault="00DE6DD3" w:rsidP="00DE6DD3">
      <w:pPr>
        <w:pStyle w:val="Body"/>
      </w:pPr>
      <w:r>
        <w:t xml:space="preserve">If you’re hunting game ducks, you still need to have passed the Waterfowl Identification Test. The test is free for </w:t>
      </w:r>
      <w:proofErr w:type="spellStart"/>
      <w:r>
        <w:t>Dja</w:t>
      </w:r>
      <w:proofErr w:type="spellEnd"/>
      <w:r>
        <w:t xml:space="preserve"> </w:t>
      </w:r>
      <w:proofErr w:type="spellStart"/>
      <w:r>
        <w:t>Dja</w:t>
      </w:r>
      <w:proofErr w:type="spellEnd"/>
      <w:r>
        <w:t xml:space="preserve"> Wurrung members. To </w:t>
      </w:r>
      <w:r w:rsidR="00D01BC5">
        <w:t>book in for a</w:t>
      </w:r>
      <w:r>
        <w:t xml:space="preserve"> Waterfowl Identification Test</w:t>
      </w:r>
      <w:r w:rsidR="000A6427">
        <w:t xml:space="preserve"> please ring the Manager Game Licensing on (03) 8392 2228</w:t>
      </w:r>
      <w:r w:rsidR="00D01BC5">
        <w:t xml:space="preserve">. Bookings </w:t>
      </w:r>
      <w:r w:rsidR="00FE611F">
        <w:t>are available to</w:t>
      </w:r>
      <w:r w:rsidR="00D01BC5">
        <w:t xml:space="preserve"> group</w:t>
      </w:r>
      <w:r w:rsidR="00FE611F">
        <w:t>s</w:t>
      </w:r>
      <w:r w:rsidR="000A6427">
        <w:t xml:space="preserve"> or</w:t>
      </w:r>
      <w:r w:rsidR="00D01BC5">
        <w:t xml:space="preserve"> individuals.</w:t>
      </w:r>
      <w:r w:rsidR="000A6427">
        <w:t xml:space="preserve"> Members are encouraged to view the </w:t>
      </w:r>
      <w:proofErr w:type="spellStart"/>
      <w:r w:rsidR="000A6427">
        <w:t>DuckWISE</w:t>
      </w:r>
      <w:proofErr w:type="spellEnd"/>
      <w:r w:rsidR="000A6427">
        <w:t xml:space="preserve"> Educational DVD</w:t>
      </w:r>
      <w:r w:rsidR="00FE611F">
        <w:t xml:space="preserve"> which can be provided by the </w:t>
      </w:r>
      <w:proofErr w:type="spellStart"/>
      <w:r w:rsidR="00FE611F">
        <w:t>Dja</w:t>
      </w:r>
      <w:proofErr w:type="spellEnd"/>
      <w:r w:rsidR="00FE611F">
        <w:t xml:space="preserve"> </w:t>
      </w:r>
      <w:proofErr w:type="spellStart"/>
      <w:r w:rsidR="00FE611F">
        <w:t>Dja</w:t>
      </w:r>
      <w:proofErr w:type="spellEnd"/>
      <w:r w:rsidR="00FE611F">
        <w:t xml:space="preserve"> Wurrung Clan</w:t>
      </w:r>
      <w:r w:rsidR="00B17B04">
        <w:t>s</w:t>
      </w:r>
      <w:r w:rsidR="00FE611F">
        <w:t xml:space="preserve"> Aboriginal Corporation, or can be viewed on-line at http://www.gma.vic.gov.au/education/duck-wise.</w:t>
      </w:r>
    </w:p>
    <w:p w:rsidR="00795920" w:rsidRDefault="00DE6DD3" w:rsidP="00D01BC5">
      <w:pPr>
        <w:pStyle w:val="Body"/>
      </w:pPr>
      <w:r>
        <w:t xml:space="preserve">See the Victorian Hunting Guide booklet or smartphone app for details of what game species can be hunted and the rules that apply to all game hunters. </w:t>
      </w:r>
      <w:r w:rsidR="00795920">
        <w:t xml:space="preserve">A link to the websites are provided at the end of this </w:t>
      </w:r>
      <w:proofErr w:type="spellStart"/>
      <w:r w:rsidR="00795920">
        <w:t>infosheet</w:t>
      </w:r>
      <w:proofErr w:type="spellEnd"/>
      <w:r w:rsidR="00795920">
        <w:t>.</w:t>
      </w:r>
    </w:p>
    <w:p w:rsidR="00DE6DD3" w:rsidRDefault="00DE6DD3" w:rsidP="00DE6DD3">
      <w:pPr>
        <w:pStyle w:val="HA"/>
        <w:spacing w:after="360"/>
      </w:pPr>
      <w:r>
        <w:t>Where can I hunt?</w:t>
      </w:r>
    </w:p>
    <w:p w:rsidR="00DE6DD3" w:rsidRDefault="00DE6DD3" w:rsidP="00DE6DD3">
      <w:pPr>
        <w:pStyle w:val="Body"/>
      </w:pPr>
      <w:r>
        <w:t xml:space="preserve">The headings below explain what you can hunt and when for each type of public land within the </w:t>
      </w:r>
      <w:proofErr w:type="spellStart"/>
      <w:r>
        <w:t>Dja</w:t>
      </w:r>
      <w:proofErr w:type="spellEnd"/>
      <w:r>
        <w:t xml:space="preserve"> </w:t>
      </w:r>
      <w:proofErr w:type="spellStart"/>
      <w:r>
        <w:t>Dja</w:t>
      </w:r>
      <w:proofErr w:type="spellEnd"/>
      <w:r>
        <w:t xml:space="preserve"> Wurrung agreement area. Refer to the map ‘Where hunting can occur in </w:t>
      </w:r>
      <w:proofErr w:type="spellStart"/>
      <w:r>
        <w:t>Dja</w:t>
      </w:r>
      <w:proofErr w:type="spellEnd"/>
      <w:r>
        <w:t xml:space="preserve"> </w:t>
      </w:r>
      <w:proofErr w:type="spellStart"/>
      <w:r>
        <w:t>Dja</w:t>
      </w:r>
      <w:proofErr w:type="spellEnd"/>
      <w:r>
        <w:t xml:space="preserve"> Wurrung Country which shows where these areas are. </w:t>
      </w:r>
    </w:p>
    <w:p w:rsidR="00DE6DD3" w:rsidRDefault="00DE6DD3" w:rsidP="00DE6DD3">
      <w:pPr>
        <w:pStyle w:val="Body"/>
      </w:pPr>
      <w:r>
        <w:t>Note: Under the headings and in the map:</w:t>
      </w:r>
    </w:p>
    <w:p w:rsidR="00DE6DD3" w:rsidRDefault="00DE6DD3" w:rsidP="00DE6DD3">
      <w:pPr>
        <w:pStyle w:val="Bullet"/>
        <w:numPr>
          <w:ilvl w:val="0"/>
          <w:numId w:val="23"/>
        </w:numPr>
        <w:ind w:left="567"/>
      </w:pPr>
      <w:r>
        <w:t xml:space="preserve"> “non-game wildlife” means the native species listed above (eastern grey kangaroos, common </w:t>
      </w:r>
      <w:proofErr w:type="spellStart"/>
      <w:r>
        <w:t>brushtail</w:t>
      </w:r>
      <w:proofErr w:type="spellEnd"/>
      <w:r>
        <w:t xml:space="preserve"> possums, little corellas and long-billed corellas, crested pigeons, </w:t>
      </w:r>
      <w:proofErr w:type="spellStart"/>
      <w:r>
        <w:t>sulfur</w:t>
      </w:r>
      <w:proofErr w:type="spellEnd"/>
      <w:r>
        <w:t xml:space="preserve">-crested cockatoos, and galahs). </w:t>
      </w:r>
    </w:p>
    <w:p w:rsidR="00DE6DD3" w:rsidRDefault="00DE6DD3" w:rsidP="00DE6DD3">
      <w:pPr>
        <w:pStyle w:val="Bullet"/>
        <w:numPr>
          <w:ilvl w:val="0"/>
          <w:numId w:val="23"/>
        </w:numPr>
        <w:ind w:left="567"/>
      </w:pPr>
      <w:r>
        <w:lastRenderedPageBreak/>
        <w:t>“Pest animals” means rabbits, foxes, feral dogs, goats and pigs. For a list of game species, refer to the Victorian Hunting Guide.</w:t>
      </w:r>
    </w:p>
    <w:p w:rsidR="00DE6DD3" w:rsidRDefault="00DE6DD3" w:rsidP="00DE6DD3">
      <w:pPr>
        <w:pStyle w:val="HB"/>
      </w:pPr>
      <w:r>
        <w:t>State Forest, Forest Parks and other unoccupied Crown Land</w:t>
      </w:r>
    </w:p>
    <w:p w:rsidR="00DE6DD3" w:rsidRDefault="00DE6DD3" w:rsidP="00DE6DD3">
      <w:pPr>
        <w:pStyle w:val="Body"/>
      </w:pPr>
      <w:r>
        <w:t xml:space="preserve">Game species may be hunted during the open season. </w:t>
      </w:r>
    </w:p>
    <w:p w:rsidR="00DE6DD3" w:rsidRDefault="00DE6DD3" w:rsidP="00DE6DD3">
      <w:pPr>
        <w:pStyle w:val="Body"/>
      </w:pPr>
      <w:r>
        <w:t>Non-game wildlife and pest animals may be hunted at any time.</w:t>
      </w:r>
    </w:p>
    <w:p w:rsidR="00DE6DD3" w:rsidRDefault="00DE6DD3" w:rsidP="00DE6DD3">
      <w:pPr>
        <w:pStyle w:val="HB"/>
      </w:pPr>
      <w:r>
        <w:t>State Game Reserves</w:t>
      </w:r>
    </w:p>
    <w:p w:rsidR="00DE6DD3" w:rsidRDefault="00DE6DD3" w:rsidP="00DE6DD3">
      <w:pPr>
        <w:pStyle w:val="Body"/>
      </w:pPr>
      <w:r>
        <w:t>Game duck may be hunted during the open season.</w:t>
      </w:r>
      <w:r w:rsidR="000A6427">
        <w:t xml:space="preserve"> </w:t>
      </w:r>
      <w:r>
        <w:t xml:space="preserve"> All other hunting is prohibited.</w:t>
      </w:r>
      <w:r w:rsidR="000A6427">
        <w:t xml:space="preserve"> </w:t>
      </w:r>
    </w:p>
    <w:p w:rsidR="00DE6DD3" w:rsidRDefault="00DE6DD3" w:rsidP="00DE6DD3">
      <w:pPr>
        <w:pStyle w:val="HB"/>
      </w:pPr>
      <w:r>
        <w:t>Sanctuaries</w:t>
      </w:r>
    </w:p>
    <w:p w:rsidR="00DE6DD3" w:rsidRDefault="00DE6DD3" w:rsidP="00DE6DD3">
      <w:pPr>
        <w:pStyle w:val="Body"/>
        <w:rPr>
          <w:color w:val="000000" w:themeColor="text1"/>
        </w:rPr>
      </w:pPr>
      <w:r>
        <w:rPr>
          <w:color w:val="000000" w:themeColor="text1"/>
        </w:rPr>
        <w:t xml:space="preserve">Only pest animals. </w:t>
      </w:r>
    </w:p>
    <w:p w:rsidR="00DE6DD3" w:rsidRDefault="00DE6DD3" w:rsidP="00DE6DD3">
      <w:pPr>
        <w:pStyle w:val="Body"/>
        <w:rPr>
          <w:color w:val="000000" w:themeColor="text1"/>
        </w:rPr>
      </w:pPr>
      <w:r>
        <w:rPr>
          <w:color w:val="000000" w:themeColor="text1"/>
        </w:rPr>
        <w:t>A list of pest an</w:t>
      </w:r>
      <w:r w:rsidR="00795920">
        <w:rPr>
          <w:color w:val="000000" w:themeColor="text1"/>
        </w:rPr>
        <w:t xml:space="preserve">imals can be found at the web link provided at the end of this </w:t>
      </w:r>
      <w:proofErr w:type="spellStart"/>
      <w:r w:rsidR="00795920">
        <w:rPr>
          <w:color w:val="000000" w:themeColor="text1"/>
        </w:rPr>
        <w:t>infosheet</w:t>
      </w:r>
      <w:proofErr w:type="spellEnd"/>
      <w:r w:rsidR="00795920">
        <w:rPr>
          <w:color w:val="000000" w:themeColor="text1"/>
        </w:rPr>
        <w:t>.</w:t>
      </w:r>
    </w:p>
    <w:p w:rsidR="00DE6DD3" w:rsidRDefault="00DE6DD3" w:rsidP="00DE6DD3">
      <w:pPr>
        <w:pStyle w:val="HB"/>
      </w:pPr>
      <w:r>
        <w:t xml:space="preserve">Flora and </w:t>
      </w:r>
      <w:r w:rsidR="00DF784B">
        <w:t>F</w:t>
      </w:r>
      <w:r>
        <w:t>a</w:t>
      </w:r>
      <w:r w:rsidR="00DF784B">
        <w:t>una Reserves and Nature C</w:t>
      </w:r>
      <w:r>
        <w:t xml:space="preserve">onservation </w:t>
      </w:r>
      <w:r w:rsidR="00DF784B">
        <w:t>R</w:t>
      </w:r>
      <w:r>
        <w:t>eserves</w:t>
      </w:r>
    </w:p>
    <w:p w:rsidR="00DE6DD3" w:rsidRDefault="00DE6DD3" w:rsidP="00DE6DD3">
      <w:pPr>
        <w:pStyle w:val="Body"/>
      </w:pPr>
      <w:r>
        <w:t>No hunting at any time.</w:t>
      </w:r>
    </w:p>
    <w:p w:rsidR="00DE6DD3" w:rsidRDefault="00DF784B" w:rsidP="00DE6DD3">
      <w:pPr>
        <w:pStyle w:val="HB"/>
      </w:pPr>
      <w:r>
        <w:t>National Parks, S</w:t>
      </w:r>
      <w:r w:rsidR="00DE6DD3">
        <w:t xml:space="preserve">tate </w:t>
      </w:r>
      <w:r>
        <w:t>P</w:t>
      </w:r>
      <w:r w:rsidR="00DE6DD3">
        <w:t xml:space="preserve">arks and </w:t>
      </w:r>
      <w:r>
        <w:t>R</w:t>
      </w:r>
      <w:r w:rsidR="00DE6DD3">
        <w:t xml:space="preserve">egional </w:t>
      </w:r>
      <w:r>
        <w:t>P</w:t>
      </w:r>
      <w:r w:rsidR="00DE6DD3">
        <w:t>arks</w:t>
      </w:r>
    </w:p>
    <w:p w:rsidR="00DE6DD3" w:rsidRDefault="00DE6DD3" w:rsidP="00DE6DD3">
      <w:pPr>
        <w:pStyle w:val="Body"/>
      </w:pPr>
      <w:r>
        <w:t>No hunting at any time.</w:t>
      </w:r>
    </w:p>
    <w:p w:rsidR="00DE6DD3" w:rsidRDefault="00DE6DD3" w:rsidP="00DE6DD3">
      <w:pPr>
        <w:pStyle w:val="HB"/>
      </w:pPr>
      <w:r>
        <w:t>Leased Crown land</w:t>
      </w:r>
    </w:p>
    <w:p w:rsidR="00DE6DD3" w:rsidRDefault="00DE6DD3" w:rsidP="00DE6DD3">
      <w:pPr>
        <w:pStyle w:val="Body"/>
      </w:pPr>
      <w:r>
        <w:t>Game (during the open season), non-game wildlife and pest animals may be hunted, but only with the permission of the lessee</w:t>
      </w:r>
    </w:p>
    <w:p w:rsidR="00DE6DD3" w:rsidRDefault="00DE6DD3" w:rsidP="00DE6DD3">
      <w:pPr>
        <w:pStyle w:val="HB"/>
      </w:pPr>
      <w:r>
        <w:t>Licensed Crown land</w:t>
      </w:r>
    </w:p>
    <w:p w:rsidR="00DE6DD3" w:rsidRDefault="00DE6DD3" w:rsidP="00DE6DD3">
      <w:pPr>
        <w:pStyle w:val="Body"/>
      </w:pPr>
      <w:r>
        <w:t>Game (during the open season), non-game wildlife and pest animals may be hunted, but only with the permission of the licensee</w:t>
      </w:r>
    </w:p>
    <w:p w:rsidR="00DE6DD3" w:rsidRDefault="00DE6DD3" w:rsidP="00DE6DD3">
      <w:pPr>
        <w:pStyle w:val="HB"/>
      </w:pPr>
      <w:r>
        <w:t>Private land</w:t>
      </w:r>
    </w:p>
    <w:p w:rsidR="00DE6DD3" w:rsidRDefault="00495D6D" w:rsidP="00DE6DD3">
      <w:pPr>
        <w:pStyle w:val="Body"/>
      </w:pPr>
      <w:r>
        <w:t xml:space="preserve">You need a game license for private land </w:t>
      </w:r>
      <w:r w:rsidR="001A071C">
        <w:t>a</w:t>
      </w:r>
      <w:r>
        <w:t xml:space="preserve">s this is not covered by the current Authorisation Orders. Game license conditions will apply to hunting on private land. </w:t>
      </w:r>
    </w:p>
    <w:p w:rsidR="00DE6DD3" w:rsidRDefault="00DE6DD3" w:rsidP="00DE6DD3">
      <w:pPr>
        <w:pStyle w:val="HA"/>
      </w:pPr>
      <w:r>
        <w:lastRenderedPageBreak/>
        <w:t>What other rules or restrictions apply to hunting?</w:t>
      </w:r>
    </w:p>
    <w:p w:rsidR="00DE6DD3" w:rsidRDefault="00DE6DD3" w:rsidP="00DE6DD3">
      <w:pPr>
        <w:pStyle w:val="Body"/>
      </w:pPr>
      <w:r>
        <w:t>Hunting under the Authorisation Order must be for “traditional purposes,” so you can’t sell the animals you take.</w:t>
      </w:r>
    </w:p>
    <w:p w:rsidR="00DE6DD3" w:rsidRDefault="00DE6DD3" w:rsidP="00DE6DD3">
      <w:pPr>
        <w:pStyle w:val="Body"/>
        <w:rPr>
          <w:rFonts w:asciiTheme="minorHAnsi" w:hAnsiTheme="minorHAnsi"/>
        </w:rPr>
      </w:pPr>
      <w:r>
        <w:t xml:space="preserve">You must act in accordance with any </w:t>
      </w:r>
      <w:r w:rsidR="000059D7">
        <w:rPr>
          <w:rFonts w:asciiTheme="minorHAnsi" w:hAnsiTheme="minorHAnsi"/>
        </w:rPr>
        <w:t xml:space="preserve">made under </w:t>
      </w:r>
      <w:r>
        <w:rPr>
          <w:rFonts w:asciiTheme="minorHAnsi" w:hAnsiTheme="minorHAnsi"/>
        </w:rPr>
        <w:t xml:space="preserve">the </w:t>
      </w:r>
      <w:r w:rsidRPr="00D01BC5">
        <w:rPr>
          <w:rFonts w:asciiTheme="minorHAnsi" w:hAnsiTheme="minorHAnsi"/>
          <w:i/>
        </w:rPr>
        <w:t>Wildlife Act 1975</w:t>
      </w:r>
      <w:r>
        <w:rPr>
          <w:rFonts w:asciiTheme="minorHAnsi" w:hAnsiTheme="minorHAnsi"/>
        </w:rPr>
        <w:t xml:space="preserve"> (these notices are </w:t>
      </w:r>
      <w:r>
        <w:rPr>
          <w:rFonts w:asciiTheme="minorHAnsi" w:hAnsiTheme="minorHAnsi" w:cs="Helv"/>
          <w:color w:val="000000"/>
          <w:szCs w:val="20"/>
        </w:rPr>
        <w:t>advertised in a state-wide newspaper prior to being gazetted)</w:t>
      </w:r>
      <w:r>
        <w:rPr>
          <w:rFonts w:asciiTheme="minorHAnsi" w:hAnsiTheme="minorHAnsi"/>
        </w:rPr>
        <w:t>.</w:t>
      </w:r>
      <w:r w:rsidR="000059D7">
        <w:rPr>
          <w:rFonts w:asciiTheme="minorHAnsi" w:hAnsiTheme="minorHAnsi"/>
        </w:rPr>
        <w:t xml:space="preserve">  Generally, these notices may temporarily close an area to hunting due to environmental conditions. </w:t>
      </w:r>
    </w:p>
    <w:p w:rsidR="00DE6DD3" w:rsidRDefault="00DE6DD3" w:rsidP="00DE6DD3">
      <w:pPr>
        <w:pStyle w:val="Body"/>
      </w:pPr>
      <w:r>
        <w:rPr>
          <w:rFonts w:asciiTheme="minorHAnsi" w:hAnsiTheme="minorHAnsi"/>
        </w:rPr>
        <w:t>If you are hunting non-game wildlife, there</w:t>
      </w:r>
      <w:r>
        <w:t xml:space="preserve"> are minimum standards that you must meet for the kinds of firearms and shotguns you can use:</w:t>
      </w:r>
    </w:p>
    <w:p w:rsidR="00DE6DD3" w:rsidRDefault="00DE6DD3" w:rsidP="00DE6DD3">
      <w:pPr>
        <w:rPr>
          <w:color w:val="000000" w:themeColor="text1"/>
        </w:rPr>
      </w:pPr>
    </w:p>
    <w:tbl>
      <w:tblPr>
        <w:tblStyle w:val="LightList-Accent5"/>
        <w:tblW w:w="5385" w:type="dxa"/>
        <w:tblInd w:w="0" w:type="dxa"/>
        <w:tblBorders>
          <w:top w:val="single" w:sz="8" w:space="0" w:color="31849B" w:themeColor="accent5" w:themeShade="BF"/>
          <w:left w:val="none" w:sz="0" w:space="0" w:color="auto"/>
          <w:bottom w:val="single" w:sz="8" w:space="0" w:color="31849B" w:themeColor="accent5" w:themeShade="BF"/>
          <w:right w:val="none" w:sz="0" w:space="0" w:color="auto"/>
          <w:insideH w:val="single" w:sz="8" w:space="0" w:color="31849B" w:themeColor="accent5" w:themeShade="BF"/>
        </w:tblBorders>
        <w:tblLayout w:type="fixed"/>
        <w:tblLook w:val="01E0" w:firstRow="1" w:lastRow="1" w:firstColumn="1" w:lastColumn="1" w:noHBand="0" w:noVBand="0"/>
      </w:tblPr>
      <w:tblGrid>
        <w:gridCol w:w="1089"/>
        <w:gridCol w:w="2454"/>
        <w:gridCol w:w="1842"/>
      </w:tblGrid>
      <w:tr w:rsidR="00DE6DD3" w:rsidTr="00DE6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hideMark/>
          </w:tcPr>
          <w:p w:rsidR="00DE6DD3" w:rsidRDefault="00DE6DD3">
            <w:pPr>
              <w:pStyle w:val="TblHd"/>
            </w:pPr>
            <w:r>
              <w:t>Species</w:t>
            </w:r>
          </w:p>
        </w:tc>
        <w:tc>
          <w:tcPr>
            <w:cnfStyle w:val="000010000000" w:firstRow="0" w:lastRow="0" w:firstColumn="0" w:lastColumn="0" w:oddVBand="1" w:evenVBand="0" w:oddHBand="0" w:evenHBand="0" w:firstRowFirstColumn="0" w:firstRowLastColumn="0" w:lastRowFirstColumn="0" w:lastRowLastColumn="0"/>
            <w:tcW w:w="2455" w:type="dxa"/>
            <w:tcBorders>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hideMark/>
          </w:tcPr>
          <w:p w:rsidR="00DE6DD3" w:rsidRDefault="00DE6DD3">
            <w:pPr>
              <w:pStyle w:val="TblHd"/>
            </w:pPr>
            <w:r>
              <w:t xml:space="preserve">Minimum Calibre/Gauge </w:t>
            </w:r>
          </w:p>
        </w:tc>
        <w:tc>
          <w:tcPr>
            <w:cnfStyle w:val="000100000000" w:firstRow="0" w:lastRow="0" w:firstColumn="0" w:lastColumn="1" w:oddVBand="0" w:evenVBand="0" w:oddHBand="0" w:evenHBand="0" w:firstRowFirstColumn="0" w:firstRowLastColumn="0" w:lastRowFirstColumn="0" w:lastRowLastColumn="0"/>
            <w:tcW w:w="184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shd w:val="clear" w:color="auto" w:fill="31849B" w:themeFill="accent5" w:themeFillShade="BF"/>
            <w:hideMark/>
          </w:tcPr>
          <w:p w:rsidR="00DE6DD3" w:rsidRDefault="00DE6DD3">
            <w:pPr>
              <w:pStyle w:val="TblHd"/>
            </w:pPr>
            <w:r>
              <w:t>Minimum projectile weight/ shot size</w:t>
            </w:r>
          </w:p>
        </w:tc>
      </w:tr>
      <w:tr w:rsidR="00DE6DD3" w:rsidTr="00DE6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tcBorders>
              <w:top w:val="single" w:sz="8" w:space="0" w:color="31849B" w:themeColor="accent5" w:themeShade="BF"/>
              <w:left w:val="nil"/>
              <w:bottom w:val="single" w:sz="8" w:space="0" w:color="31849B" w:themeColor="accent5" w:themeShade="BF"/>
              <w:right w:val="nil"/>
            </w:tcBorders>
            <w:hideMark/>
          </w:tcPr>
          <w:p w:rsidR="00DE6DD3" w:rsidRDefault="00DE6DD3">
            <w:pPr>
              <w:pStyle w:val="Tabletext"/>
            </w:pPr>
            <w:r>
              <w:rPr>
                <w:b w:val="0"/>
              </w:rPr>
              <w:t>Kangaroo</w:t>
            </w:r>
          </w:p>
        </w:tc>
        <w:tc>
          <w:tcPr>
            <w:cnfStyle w:val="000010000000" w:firstRow="0" w:lastRow="0" w:firstColumn="0" w:lastColumn="0" w:oddVBand="1" w:evenVBand="0" w:oddHBand="0" w:evenHBand="0" w:firstRowFirstColumn="0" w:firstRowLastColumn="0" w:lastRowFirstColumn="0" w:lastRowLastColumn="0"/>
            <w:tcW w:w="2455" w:type="dxa"/>
            <w:tcBorders>
              <w:top w:val="single" w:sz="8" w:space="0" w:color="31849B" w:themeColor="accent5" w:themeShade="BF"/>
              <w:left w:val="nil"/>
              <w:bottom w:val="single" w:sz="8" w:space="0" w:color="31849B" w:themeColor="accent5" w:themeShade="BF"/>
              <w:right w:val="nil"/>
            </w:tcBorders>
            <w:hideMark/>
          </w:tcPr>
          <w:p w:rsidR="00DE6DD3" w:rsidRDefault="00DE6DD3">
            <w:pPr>
              <w:pStyle w:val="Tabletext"/>
            </w:pPr>
            <w:r>
              <w:t xml:space="preserve">.222 </w:t>
            </w:r>
            <w:proofErr w:type="spellStart"/>
            <w:r>
              <w:t>centre</w:t>
            </w:r>
            <w:proofErr w:type="spellEnd"/>
            <w:r>
              <w:t xml:space="preserve"> fire/ 12 gauge</w:t>
            </w:r>
          </w:p>
        </w:tc>
        <w:tc>
          <w:tcPr>
            <w:cnfStyle w:val="000100000000" w:firstRow="0" w:lastRow="0" w:firstColumn="0" w:lastColumn="1" w:oddVBand="0" w:evenVBand="0" w:oddHBand="0" w:evenHBand="0" w:firstRowFirstColumn="0" w:firstRowLastColumn="0" w:lastRowFirstColumn="0" w:lastRowLastColumn="0"/>
            <w:tcW w:w="1843" w:type="dxa"/>
            <w:tcBorders>
              <w:top w:val="single" w:sz="8" w:space="0" w:color="31849B" w:themeColor="accent5" w:themeShade="BF"/>
              <w:left w:val="nil"/>
              <w:bottom w:val="single" w:sz="8" w:space="0" w:color="31849B" w:themeColor="accent5" w:themeShade="BF"/>
              <w:right w:val="nil"/>
            </w:tcBorders>
            <w:hideMark/>
          </w:tcPr>
          <w:p w:rsidR="00DE6DD3" w:rsidRDefault="00DE6DD3">
            <w:pPr>
              <w:pStyle w:val="Tabletext"/>
            </w:pPr>
            <w:r>
              <w:rPr>
                <w:b w:val="0"/>
              </w:rPr>
              <w:t>50 grains/No.2 shot</w:t>
            </w:r>
          </w:p>
        </w:tc>
      </w:tr>
      <w:tr w:rsidR="00DE6DD3" w:rsidTr="00DE6DD3">
        <w:tc>
          <w:tcPr>
            <w:cnfStyle w:val="001000000000" w:firstRow="0" w:lastRow="0" w:firstColumn="1" w:lastColumn="0" w:oddVBand="0" w:evenVBand="0" w:oddHBand="0" w:evenHBand="0" w:firstRowFirstColumn="0" w:firstRowLastColumn="0" w:lastRowFirstColumn="0" w:lastRowLastColumn="0"/>
            <w:tcW w:w="1089" w:type="dxa"/>
            <w:tcBorders>
              <w:top w:val="single" w:sz="8" w:space="0" w:color="31849B" w:themeColor="accent5" w:themeShade="BF"/>
              <w:left w:val="nil"/>
              <w:bottom w:val="single" w:sz="8" w:space="0" w:color="31849B" w:themeColor="accent5" w:themeShade="BF"/>
              <w:right w:val="nil"/>
            </w:tcBorders>
            <w:hideMark/>
          </w:tcPr>
          <w:p w:rsidR="00DE6DD3" w:rsidRDefault="00DE6DD3">
            <w:pPr>
              <w:pStyle w:val="Tabletext"/>
            </w:pPr>
            <w:r>
              <w:rPr>
                <w:b w:val="0"/>
              </w:rPr>
              <w:t>Possum</w:t>
            </w:r>
          </w:p>
        </w:tc>
        <w:tc>
          <w:tcPr>
            <w:cnfStyle w:val="000010000000" w:firstRow="0" w:lastRow="0" w:firstColumn="0" w:lastColumn="0" w:oddVBand="1" w:evenVBand="0" w:oddHBand="0" w:evenHBand="0" w:firstRowFirstColumn="0" w:firstRowLastColumn="0" w:lastRowFirstColumn="0" w:lastRowLastColumn="0"/>
            <w:tcW w:w="2455" w:type="dxa"/>
            <w:tcBorders>
              <w:top w:val="single" w:sz="8" w:space="0" w:color="31849B" w:themeColor="accent5" w:themeShade="BF"/>
              <w:left w:val="nil"/>
              <w:bottom w:val="single" w:sz="8" w:space="0" w:color="31849B" w:themeColor="accent5" w:themeShade="BF"/>
              <w:right w:val="nil"/>
            </w:tcBorders>
            <w:hideMark/>
          </w:tcPr>
          <w:p w:rsidR="00DE6DD3" w:rsidRDefault="00DE6DD3">
            <w:pPr>
              <w:pStyle w:val="Tabletext"/>
            </w:pPr>
            <w:r>
              <w:t xml:space="preserve">.22 </w:t>
            </w:r>
            <w:proofErr w:type="spellStart"/>
            <w:r>
              <w:t>rimfire</w:t>
            </w:r>
            <w:proofErr w:type="spellEnd"/>
            <w:r>
              <w:t xml:space="preserve"> / 12 gauge</w:t>
            </w:r>
          </w:p>
        </w:tc>
        <w:tc>
          <w:tcPr>
            <w:cnfStyle w:val="000100000000" w:firstRow="0" w:lastRow="0" w:firstColumn="0" w:lastColumn="1" w:oddVBand="0" w:evenVBand="0" w:oddHBand="0" w:evenHBand="0" w:firstRowFirstColumn="0" w:firstRowLastColumn="0" w:lastRowFirstColumn="0" w:lastRowLastColumn="0"/>
            <w:tcW w:w="1843" w:type="dxa"/>
            <w:tcBorders>
              <w:top w:val="single" w:sz="8" w:space="0" w:color="31849B" w:themeColor="accent5" w:themeShade="BF"/>
              <w:left w:val="nil"/>
              <w:bottom w:val="single" w:sz="8" w:space="0" w:color="31849B" w:themeColor="accent5" w:themeShade="BF"/>
              <w:right w:val="nil"/>
            </w:tcBorders>
            <w:hideMark/>
          </w:tcPr>
          <w:p w:rsidR="00DE6DD3" w:rsidRDefault="00DE6DD3">
            <w:pPr>
              <w:pStyle w:val="Tabletext"/>
            </w:pPr>
            <w:r>
              <w:rPr>
                <w:b w:val="0"/>
              </w:rPr>
              <w:t>30 grains/No.2 shot</w:t>
            </w:r>
          </w:p>
        </w:tc>
      </w:tr>
      <w:tr w:rsidR="00DE6DD3" w:rsidTr="00DE6DD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tcBorders>
              <w:top w:val="single" w:sz="8" w:space="0" w:color="31849B" w:themeColor="accent5" w:themeShade="BF"/>
              <w:left w:val="nil"/>
              <w:bottom w:val="single" w:sz="8" w:space="0" w:color="31849B" w:themeColor="accent5" w:themeShade="BF"/>
              <w:right w:val="nil"/>
            </w:tcBorders>
            <w:hideMark/>
          </w:tcPr>
          <w:p w:rsidR="00DE6DD3" w:rsidRDefault="00DE6DD3">
            <w:pPr>
              <w:pStyle w:val="Tabletext"/>
            </w:pPr>
            <w:r>
              <w:rPr>
                <w:b w:val="0"/>
              </w:rPr>
              <w:t xml:space="preserve">Small bird </w:t>
            </w:r>
          </w:p>
        </w:tc>
        <w:tc>
          <w:tcPr>
            <w:cnfStyle w:val="000010000000" w:firstRow="0" w:lastRow="0" w:firstColumn="0" w:lastColumn="0" w:oddVBand="1" w:evenVBand="0" w:oddHBand="0" w:evenHBand="0" w:firstRowFirstColumn="0" w:firstRowLastColumn="0" w:lastRowFirstColumn="0" w:lastRowLastColumn="0"/>
            <w:tcW w:w="2455" w:type="dxa"/>
            <w:tcBorders>
              <w:top w:val="single" w:sz="8" w:space="0" w:color="31849B" w:themeColor="accent5" w:themeShade="BF"/>
              <w:left w:val="nil"/>
              <w:bottom w:val="single" w:sz="8" w:space="0" w:color="31849B" w:themeColor="accent5" w:themeShade="BF"/>
              <w:right w:val="nil"/>
            </w:tcBorders>
            <w:hideMark/>
          </w:tcPr>
          <w:p w:rsidR="00DE6DD3" w:rsidRDefault="00DE6DD3">
            <w:pPr>
              <w:pStyle w:val="Tabletext"/>
            </w:pPr>
            <w:r>
              <w:rPr>
                <w:b w:val="0"/>
              </w:rPr>
              <w:t xml:space="preserve">.22 </w:t>
            </w:r>
            <w:proofErr w:type="spellStart"/>
            <w:r>
              <w:rPr>
                <w:b w:val="0"/>
              </w:rPr>
              <w:t>rimfire</w:t>
            </w:r>
            <w:proofErr w:type="spellEnd"/>
            <w:r>
              <w:rPr>
                <w:b w:val="0"/>
              </w:rPr>
              <w:t xml:space="preserve"> / 12 gauge</w:t>
            </w:r>
          </w:p>
        </w:tc>
        <w:tc>
          <w:tcPr>
            <w:cnfStyle w:val="000100000000" w:firstRow="0" w:lastRow="0" w:firstColumn="0" w:lastColumn="1" w:oddVBand="0" w:evenVBand="0" w:oddHBand="0" w:evenHBand="0" w:firstRowFirstColumn="0" w:firstRowLastColumn="0" w:lastRowFirstColumn="0" w:lastRowLastColumn="0"/>
            <w:tcW w:w="1843" w:type="dxa"/>
            <w:tcBorders>
              <w:top w:val="single" w:sz="8" w:space="0" w:color="31849B" w:themeColor="accent5" w:themeShade="BF"/>
              <w:left w:val="nil"/>
              <w:bottom w:val="single" w:sz="8" w:space="0" w:color="31849B" w:themeColor="accent5" w:themeShade="BF"/>
              <w:right w:val="nil"/>
            </w:tcBorders>
            <w:hideMark/>
          </w:tcPr>
          <w:p w:rsidR="00DE6DD3" w:rsidRDefault="00DE6DD3">
            <w:pPr>
              <w:pStyle w:val="Tabletext"/>
            </w:pPr>
            <w:r>
              <w:rPr>
                <w:b w:val="0"/>
              </w:rPr>
              <w:t>30 grains/No.9 shot</w:t>
            </w:r>
          </w:p>
        </w:tc>
      </w:tr>
    </w:tbl>
    <w:p w:rsidR="00DE6DD3" w:rsidRDefault="00DE6DD3" w:rsidP="00DE6DD3">
      <w:pPr>
        <w:rPr>
          <w:color w:val="000000" w:themeColor="text1"/>
        </w:rPr>
      </w:pPr>
    </w:p>
    <w:p w:rsidR="00DE6DD3" w:rsidRDefault="00DE6DD3" w:rsidP="00DE6DD3">
      <w:pPr>
        <w:pStyle w:val="Body"/>
      </w:pPr>
      <w:r>
        <w:t xml:space="preserve">Anyone using a firearm for any kind of hunting still needs to hold a valid Firearms Licence and act in accordance with the </w:t>
      </w:r>
      <w:r>
        <w:rPr>
          <w:i/>
        </w:rPr>
        <w:t>Firearms Act 1996</w:t>
      </w:r>
      <w:r>
        <w:t>.  For more information on firearms licenses, storage requirements</w:t>
      </w:r>
    </w:p>
    <w:p w:rsidR="00DE6DD3" w:rsidRDefault="00DE6DD3" w:rsidP="00DE6DD3">
      <w:pPr>
        <w:pStyle w:val="Body"/>
      </w:pPr>
      <w:r>
        <w:t xml:space="preserve">for firearms and ammunition and restrictions for the use of firearms please contact the Victoria Police: </w:t>
      </w:r>
      <w:hyperlink r:id="rId8" w:history="1">
        <w:r w:rsidRPr="004E58C3">
          <w:rPr>
            <w:rStyle w:val="Hyperlink"/>
            <w:color w:val="auto"/>
            <w:u w:val="none"/>
          </w:rPr>
          <w:t>www.police.vic.gov.au</w:t>
        </w:r>
      </w:hyperlink>
      <w:r w:rsidRPr="004E58C3">
        <w:t>.</w:t>
      </w:r>
    </w:p>
    <w:p w:rsidR="00DE6DD3" w:rsidRDefault="00DE6DD3" w:rsidP="00DE6DD3">
      <w:pPr>
        <w:pStyle w:val="Body"/>
      </w:pPr>
      <w:r>
        <w:t>Hunting at night (half an hour after sunset to half an hour before sunrise) is prohibited for game. For other animals, the usual rules about hunting by spotlight and hunting from a vehicle still apply. That is, on public land, non-game wildlife and pests can only be hunted at night on foot. Spotlights can be used outside recognised deer habitat.</w:t>
      </w:r>
    </w:p>
    <w:p w:rsidR="00DE6DD3" w:rsidRDefault="00DE6DD3" w:rsidP="00DE6DD3">
      <w:pPr>
        <w:pStyle w:val="Body"/>
        <w:rPr>
          <w:rStyle w:val="Hyperlink"/>
          <w:color w:val="000000" w:themeColor="text1"/>
        </w:rPr>
      </w:pPr>
      <w:r>
        <w:t xml:space="preserve">As usual, all wounded animals must be humanely killed as soon as you recover them. The </w:t>
      </w:r>
      <w:r>
        <w:rPr>
          <w:bCs/>
          <w:i/>
        </w:rPr>
        <w:t>Prevention of Cruelty to Animals Act</w:t>
      </w:r>
      <w:r>
        <w:t xml:space="preserve"> still applies, so read and follow the Code of Practice for the Welfare of Animals in Hunting and the National Code of Practice for the Humane Shooting </w:t>
      </w:r>
      <w:r>
        <w:lastRenderedPageBreak/>
        <w:t>of Kangaroos and Wallabies</w:t>
      </w:r>
      <w:r>
        <w:rPr>
          <w:u w:val="single"/>
        </w:rPr>
        <w:t xml:space="preserve"> </w:t>
      </w:r>
      <w:r>
        <w:t>for Non-Commercial Purposes</w:t>
      </w:r>
      <w:r>
        <w:rPr>
          <w:rStyle w:val="Hyperlink"/>
          <w:color w:val="000000" w:themeColor="text1"/>
        </w:rPr>
        <w:t xml:space="preserve">. </w:t>
      </w:r>
    </w:p>
    <w:p w:rsidR="00DE6DD3" w:rsidRDefault="00DE6DD3" w:rsidP="00DE6DD3">
      <w:pPr>
        <w:pStyle w:val="HB"/>
      </w:pPr>
      <w:r>
        <w:t>National Parks and hunting</w:t>
      </w:r>
    </w:p>
    <w:p w:rsidR="00DE6DD3" w:rsidRDefault="00DE6DD3" w:rsidP="00DE6DD3">
      <w:pPr>
        <w:pStyle w:val="Body"/>
        <w:rPr>
          <w:rFonts w:asciiTheme="majorHAnsi" w:eastAsiaTheme="majorEastAsia" w:hAnsiTheme="majorHAnsi" w:cstheme="majorBidi"/>
          <w:b/>
          <w:bCs/>
        </w:rPr>
      </w:pPr>
      <w:r>
        <w:t xml:space="preserve">Under the National Parks Regulations 2013, the general ban on hunting doesn’t apply to Traditional Owners who are acting in accordance with an “Aboriginal tradition.” However, you still can’t use firearms or weapons of any kind in a National Park unless you have specific permission, and the </w:t>
      </w:r>
      <w:proofErr w:type="spellStart"/>
      <w:r>
        <w:t>statewide</w:t>
      </w:r>
      <w:proofErr w:type="spellEnd"/>
      <w:r>
        <w:t xml:space="preserve"> restrictions on traps also still apply. So in practical terms, hunting for the above-mentioned species in National Parks is still not allowed.</w:t>
      </w:r>
    </w:p>
    <w:p w:rsidR="000059D7" w:rsidRDefault="000059D7" w:rsidP="000059D7">
      <w:pPr>
        <w:pStyle w:val="HB"/>
      </w:pPr>
      <w:r>
        <w:t>Hunting game species outside of the normal rules</w:t>
      </w:r>
    </w:p>
    <w:p w:rsidR="000059D7" w:rsidRDefault="000059D7" w:rsidP="00DE6DD3">
      <w:pPr>
        <w:pStyle w:val="Body"/>
      </w:pPr>
      <w:r>
        <w:t xml:space="preserve">If </w:t>
      </w:r>
      <w:proofErr w:type="spellStart"/>
      <w:r>
        <w:t>Dja</w:t>
      </w:r>
      <w:proofErr w:type="spellEnd"/>
      <w:r>
        <w:t xml:space="preserve"> </w:t>
      </w:r>
      <w:proofErr w:type="spellStart"/>
      <w:r>
        <w:t>Dja</w:t>
      </w:r>
      <w:proofErr w:type="spellEnd"/>
      <w:r>
        <w:t xml:space="preserve"> Wurrung Members want to hunt or take game species outside of the normal rules (i.e. season dates, methods etc.) to support traditional</w:t>
      </w:r>
      <w:r w:rsidR="002C2E75">
        <w:t xml:space="preserve"> and cultural</w:t>
      </w:r>
      <w:r>
        <w:t xml:space="preserve"> purposes</w:t>
      </w:r>
      <w:r w:rsidR="002C2E75">
        <w:t>,</w:t>
      </w:r>
      <w:r>
        <w:t xml:space="preserve"> </w:t>
      </w:r>
      <w:r w:rsidR="002C2E75">
        <w:t xml:space="preserve">please contact the </w:t>
      </w:r>
      <w:proofErr w:type="spellStart"/>
      <w:r w:rsidR="002C2E75">
        <w:t>Dja</w:t>
      </w:r>
      <w:proofErr w:type="spellEnd"/>
      <w:r w:rsidR="002C2E75">
        <w:t xml:space="preserve"> </w:t>
      </w:r>
      <w:proofErr w:type="spellStart"/>
      <w:r w:rsidR="002C2E75">
        <w:t>Dja</w:t>
      </w:r>
      <w:proofErr w:type="spellEnd"/>
      <w:r w:rsidR="002C2E75">
        <w:t xml:space="preserve"> Wurrung Clans Aboriginal Corporation who will work with the Game Management Authority to consider the proposal and ensure correct authorisations are provided. </w:t>
      </w:r>
    </w:p>
    <w:p w:rsidR="00DE6DD3" w:rsidRDefault="00DE6DD3" w:rsidP="00862DE0">
      <w:pPr>
        <w:pStyle w:val="HA"/>
        <w:spacing w:after="0" w:line="240" w:lineRule="auto"/>
      </w:pPr>
      <w:r>
        <w:t>More information</w:t>
      </w:r>
      <w:r w:rsidR="00442BE4">
        <w:t xml:space="preserve"> </w:t>
      </w:r>
      <w:r w:rsidR="00BC5739">
        <w:t xml:space="preserve">and web links </w:t>
      </w:r>
    </w:p>
    <w:p w:rsidR="000A5541" w:rsidRDefault="000A5541" w:rsidP="000A5541">
      <w:pPr>
        <w:pStyle w:val="HB"/>
      </w:pPr>
      <w:r>
        <w:t>R</w:t>
      </w:r>
      <w:r w:rsidR="00472635">
        <w:t>ecreation</w:t>
      </w:r>
      <w:r w:rsidR="00862DE0">
        <w:t xml:space="preserve"> Fishing Guide (app</w:t>
      </w:r>
      <w:r w:rsidR="00A325EE">
        <w:t xml:space="preserve"> or book</w:t>
      </w:r>
      <w:bookmarkStart w:id="1" w:name="_GoBack"/>
      <w:bookmarkEnd w:id="1"/>
      <w:r w:rsidR="00862DE0">
        <w:t>)</w:t>
      </w:r>
    </w:p>
    <w:p w:rsidR="003057FD" w:rsidRDefault="00A325EE" w:rsidP="000A5541">
      <w:pPr>
        <w:pStyle w:val="HB"/>
        <w:rPr>
          <w:b w:val="0"/>
          <w:color w:val="auto"/>
          <w:sz w:val="22"/>
        </w:rPr>
      </w:pPr>
      <w:hyperlink r:id="rId9" w:history="1">
        <w:r w:rsidR="003057FD" w:rsidRPr="00B40D97">
          <w:rPr>
            <w:rStyle w:val="Hyperlink"/>
            <w:b w:val="0"/>
            <w:sz w:val="22"/>
          </w:rPr>
          <w:t>http://agriculture.vic.gov.au/fisheries/recreational-fishing/recreational-fishing-guide</w:t>
        </w:r>
      </w:hyperlink>
    </w:p>
    <w:p w:rsidR="000A5541" w:rsidRDefault="00862DE0" w:rsidP="000A5541">
      <w:pPr>
        <w:pStyle w:val="HB"/>
      </w:pPr>
      <w:r>
        <w:t>Hunting Guide (book)</w:t>
      </w:r>
      <w:r w:rsidR="000A5541">
        <w:t xml:space="preserve"> </w:t>
      </w:r>
    </w:p>
    <w:p w:rsidR="000A5541" w:rsidRDefault="000A5541" w:rsidP="000A5541">
      <w:pPr>
        <w:pStyle w:val="Body"/>
      </w:pPr>
      <w:r w:rsidRPr="00A2778B">
        <w:t>http://www.gma.vic.gov.au/education/victorian-hunting-guide</w:t>
      </w:r>
    </w:p>
    <w:p w:rsidR="000A5541" w:rsidRDefault="000A5541" w:rsidP="000A5541">
      <w:pPr>
        <w:pStyle w:val="HB"/>
      </w:pPr>
      <w:r>
        <w:t xml:space="preserve">Hunting Guide </w:t>
      </w:r>
      <w:r w:rsidR="00862DE0">
        <w:t>(mobile app)</w:t>
      </w:r>
    </w:p>
    <w:p w:rsidR="000A5541" w:rsidRPr="004E58C3" w:rsidRDefault="00A325EE" w:rsidP="000A5541">
      <w:pPr>
        <w:pStyle w:val="Body"/>
      </w:pPr>
      <w:hyperlink r:id="rId10" w:history="1">
        <w:r w:rsidR="000A5541" w:rsidRPr="004E58C3">
          <w:rPr>
            <w:rStyle w:val="Hyperlink"/>
            <w:color w:val="auto"/>
            <w:u w:val="none"/>
          </w:rPr>
          <w:t>http://www.gma.vic.gov.au/education/better-hunting/game-hunting-app</w:t>
        </w:r>
      </w:hyperlink>
    </w:p>
    <w:p w:rsidR="000A5541" w:rsidRDefault="000A5541" w:rsidP="000A5541">
      <w:pPr>
        <w:pStyle w:val="HB"/>
      </w:pPr>
      <w:r>
        <w:t xml:space="preserve">Pest Animal List </w:t>
      </w:r>
    </w:p>
    <w:p w:rsidR="000A5541" w:rsidRDefault="000A5541" w:rsidP="000A5541">
      <w:pPr>
        <w:pStyle w:val="Body"/>
        <w:rPr>
          <w:color w:val="000000" w:themeColor="text1"/>
        </w:rPr>
      </w:pPr>
      <w:r>
        <w:t>http://www.depi.vic.gov.au/agriculture-and-food/pests-diseases-and-weeds/pest-animals/a-z-of-pest-animals.</w:t>
      </w:r>
    </w:p>
    <w:p w:rsidR="002103C2" w:rsidRDefault="002103C2" w:rsidP="00324F0E">
      <w:pPr>
        <w:pStyle w:val="HB"/>
      </w:pPr>
      <w:r>
        <w:lastRenderedPageBreak/>
        <w:t xml:space="preserve">Game Management Authority </w:t>
      </w:r>
      <w:r w:rsidR="00862DE0">
        <w:t xml:space="preserve">and </w:t>
      </w:r>
      <w:proofErr w:type="spellStart"/>
      <w:r w:rsidR="00862DE0">
        <w:t>DuckWISE</w:t>
      </w:r>
      <w:proofErr w:type="spellEnd"/>
      <w:r w:rsidR="00862DE0">
        <w:t xml:space="preserve">  (e</w:t>
      </w:r>
      <w:r w:rsidR="00D01BC5">
        <w:t>ducational DVD</w:t>
      </w:r>
      <w:r w:rsidR="00862DE0">
        <w:t>)</w:t>
      </w:r>
    </w:p>
    <w:p w:rsidR="002103C2" w:rsidRDefault="00A325EE" w:rsidP="00BC5739">
      <w:pPr>
        <w:pStyle w:val="Body"/>
      </w:pPr>
      <w:hyperlink r:id="rId11" w:history="1">
        <w:r w:rsidR="002103C2" w:rsidRPr="002103C2">
          <w:rPr>
            <w:rStyle w:val="Hyperlink"/>
            <w:color w:val="auto"/>
            <w:u w:val="none"/>
          </w:rPr>
          <w:t>http://www.gma.vic.gov.au</w:t>
        </w:r>
      </w:hyperlink>
    </w:p>
    <w:p w:rsidR="00D01BC5" w:rsidRDefault="00D01BC5" w:rsidP="00BC5739">
      <w:pPr>
        <w:pStyle w:val="Body"/>
      </w:pPr>
      <w:r>
        <w:t>http://www.gma.vic.gov.au/</w:t>
      </w:r>
      <w:r w:rsidRPr="000A6427">
        <w:t>education/duck-wise</w:t>
      </w:r>
    </w:p>
    <w:p w:rsidR="00862DE0" w:rsidRDefault="00862DE0" w:rsidP="00862DE0">
      <w:pPr>
        <w:pStyle w:val="HB"/>
        <w:rPr>
          <w:rStyle w:val="Hyperlink"/>
          <w:color w:val="000000" w:themeColor="text1"/>
        </w:rPr>
      </w:pPr>
      <w:r>
        <w:t>Code of Practice for the Welfare of Animals in Hunting</w:t>
      </w:r>
    </w:p>
    <w:p w:rsidR="00862DE0" w:rsidRPr="004E58C3" w:rsidRDefault="00A325EE" w:rsidP="00862DE0">
      <w:pPr>
        <w:pStyle w:val="Body"/>
      </w:pPr>
      <w:hyperlink r:id="rId12" w:history="1">
        <w:r w:rsidR="00862DE0" w:rsidRPr="004E58C3">
          <w:rPr>
            <w:rStyle w:val="Hyperlink"/>
            <w:color w:val="auto"/>
            <w:u w:val="none"/>
          </w:rPr>
          <w:t>http://www.depi.vic.gov.au/agriculture-and-food/animal-health-and-welfare/animal-welfare/animal-welfare-legislation/victorian-codes-of-practice-for-animal-welfare/code-of-practice-for-the-welfare-of-animals-in-hunting-revision-no.-1</w:t>
        </w:r>
      </w:hyperlink>
    </w:p>
    <w:p w:rsidR="00DE6DD3" w:rsidRDefault="00DE6DD3" w:rsidP="00324F0E">
      <w:pPr>
        <w:pStyle w:val="HB"/>
      </w:pPr>
      <w:r>
        <w:t>National Code of Practice for the Humane Shooting of Kangaroos and Wallabies</w:t>
      </w:r>
      <w:r>
        <w:rPr>
          <w:u w:val="single"/>
        </w:rPr>
        <w:t xml:space="preserve"> </w:t>
      </w:r>
      <w:r>
        <w:t>for Non-Commercial Purposes</w:t>
      </w:r>
    </w:p>
    <w:p w:rsidR="00DE6DD3" w:rsidRDefault="00DE6DD3" w:rsidP="00BC5739">
      <w:pPr>
        <w:pStyle w:val="Body"/>
      </w:pPr>
      <w:r>
        <w:t>http://www.environment.gov.au/system/files/resources/8ae26c87-fb7c-4ddc-b5df-02039cf1483e/files/code-conduct-non-commercial.pdf.</w:t>
      </w:r>
    </w:p>
    <w:p w:rsidR="00DE6DD3" w:rsidRPr="00F14436" w:rsidRDefault="00DE6DD3" w:rsidP="00F14436">
      <w:pPr>
        <w:pStyle w:val="HB"/>
      </w:pPr>
      <w:proofErr w:type="spellStart"/>
      <w:r w:rsidRPr="00F14436">
        <w:rPr>
          <w:rStyle w:val="Hyperlink"/>
          <w:color w:val="228591"/>
          <w:u w:val="none"/>
        </w:rPr>
        <w:t>Statewide</w:t>
      </w:r>
      <w:proofErr w:type="spellEnd"/>
      <w:r w:rsidRPr="00F14436">
        <w:rPr>
          <w:rStyle w:val="Hyperlink"/>
          <w:color w:val="228591"/>
          <w:u w:val="none"/>
        </w:rPr>
        <w:t xml:space="preserve"> </w:t>
      </w:r>
      <w:r w:rsidR="00F14436" w:rsidRPr="00F14436">
        <w:rPr>
          <w:rStyle w:val="Hyperlink"/>
          <w:color w:val="228591"/>
          <w:u w:val="none"/>
        </w:rPr>
        <w:t xml:space="preserve">trap </w:t>
      </w:r>
      <w:r w:rsidRPr="00F14436">
        <w:t>r</w:t>
      </w:r>
      <w:r w:rsidR="00F14436" w:rsidRPr="00F14436">
        <w:t>estrictions</w:t>
      </w:r>
    </w:p>
    <w:p w:rsidR="00DE6DD3" w:rsidRPr="004E58C3" w:rsidRDefault="00A325EE" w:rsidP="00BC5739">
      <w:pPr>
        <w:pStyle w:val="Body"/>
        <w:rPr>
          <w:rStyle w:val="Hyperlink"/>
          <w:color w:val="auto"/>
          <w:u w:val="none"/>
        </w:rPr>
      </w:pPr>
      <w:hyperlink r:id="rId13" w:history="1">
        <w:r w:rsidR="00DE6DD3" w:rsidRPr="004E58C3">
          <w:rPr>
            <w:rStyle w:val="Hyperlink"/>
            <w:color w:val="auto"/>
            <w:u w:val="none"/>
          </w:rPr>
          <w:t>http://www.depi.vic.gov.au/agriculture-and-food/animal-health-and-welfare/animal-welfare/humane-vertebrate-pest-control</w:t>
        </w:r>
      </w:hyperlink>
      <w:r w:rsidR="00DE6DD3" w:rsidRPr="004E58C3">
        <w:rPr>
          <w:rStyle w:val="Hyperlink"/>
          <w:color w:val="auto"/>
          <w:u w:val="none"/>
        </w:rPr>
        <w:t xml:space="preserve"> </w:t>
      </w:r>
    </w:p>
    <w:p w:rsidR="00324F0E" w:rsidRDefault="00324F0E" w:rsidP="00324F0E">
      <w:pPr>
        <w:pStyle w:val="HB"/>
      </w:pPr>
      <w:proofErr w:type="spellStart"/>
      <w:r>
        <w:t>Dja</w:t>
      </w:r>
      <w:proofErr w:type="spellEnd"/>
      <w:r>
        <w:t xml:space="preserve"> </w:t>
      </w:r>
      <w:proofErr w:type="spellStart"/>
      <w:r>
        <w:t>Dja</w:t>
      </w:r>
      <w:proofErr w:type="spellEnd"/>
      <w:r>
        <w:t xml:space="preserve"> Wurrung Recognition and Settlement Agreement (2013)</w:t>
      </w:r>
    </w:p>
    <w:p w:rsidR="00324F0E" w:rsidRPr="00BC5739" w:rsidRDefault="00A325EE" w:rsidP="00BC5739">
      <w:pPr>
        <w:pStyle w:val="Body"/>
      </w:pPr>
      <w:hyperlink r:id="rId14" w:history="1">
        <w:r w:rsidR="00324F0E" w:rsidRPr="00BC5739">
          <w:rPr>
            <w:rStyle w:val="Hyperlink"/>
            <w:color w:val="auto"/>
            <w:u w:val="none"/>
          </w:rPr>
          <w:t>http://www.justice.vic.gov.au/home/your+rights/native+title/dja+dja+wurrung+settlement+commences</w:t>
        </w:r>
      </w:hyperlink>
    </w:p>
    <w:p w:rsidR="00324F0E" w:rsidRDefault="00324F0E" w:rsidP="00324F0E">
      <w:pPr>
        <w:pStyle w:val="HB"/>
      </w:pPr>
      <w:r>
        <w:t>Authorisation Orders</w:t>
      </w:r>
    </w:p>
    <w:p w:rsidR="00324F0E" w:rsidRDefault="00324F0E" w:rsidP="00324F0E">
      <w:pPr>
        <w:pStyle w:val="Body"/>
      </w:pPr>
      <w:r>
        <w:t>http://www.gazette.vic.gov.au/gazette/Gazettes2014/GG2014S354.pdf</w:t>
      </w:r>
    </w:p>
    <w:p w:rsidR="00324F0E" w:rsidRDefault="00324F0E" w:rsidP="00324F0E">
      <w:pPr>
        <w:pStyle w:val="HB"/>
      </w:pPr>
      <w:r>
        <w:t>Map of Settlement Area</w:t>
      </w:r>
    </w:p>
    <w:p w:rsidR="00324F0E" w:rsidRPr="008B0572" w:rsidRDefault="00A325EE" w:rsidP="008B0572">
      <w:pPr>
        <w:pStyle w:val="Body"/>
      </w:pPr>
      <w:hyperlink r:id="rId15" w:history="1">
        <w:r w:rsidR="00324F0E" w:rsidRPr="008B0572">
          <w:rPr>
            <w:rStyle w:val="Hyperlink"/>
            <w:color w:val="auto"/>
            <w:u w:val="none"/>
          </w:rPr>
          <w:t>http://www.djadjawurrung.com.au/maps</w:t>
        </w:r>
      </w:hyperlink>
    </w:p>
    <w:p w:rsidR="00B17B04" w:rsidRDefault="00B17B04" w:rsidP="00B17B04">
      <w:pPr>
        <w:pStyle w:val="HB"/>
      </w:pPr>
      <w:proofErr w:type="spellStart"/>
      <w:r>
        <w:t>Dja</w:t>
      </w:r>
      <w:proofErr w:type="spellEnd"/>
      <w:r>
        <w:t xml:space="preserve"> </w:t>
      </w:r>
      <w:proofErr w:type="spellStart"/>
      <w:r>
        <w:t>Dja</w:t>
      </w:r>
      <w:proofErr w:type="spellEnd"/>
      <w:r>
        <w:t xml:space="preserve"> Wurrung Clans Aboriginal Corporation Contact Details</w:t>
      </w:r>
    </w:p>
    <w:p w:rsidR="00B17B04" w:rsidRPr="005E0A00" w:rsidRDefault="00A325EE" w:rsidP="00B17B04">
      <w:pPr>
        <w:pStyle w:val="Body"/>
      </w:pPr>
      <w:hyperlink r:id="rId16" w:history="1">
        <w:r w:rsidR="00B17B04" w:rsidRPr="005E0A00">
          <w:rPr>
            <w:rStyle w:val="Hyperlink"/>
            <w:color w:val="auto"/>
            <w:u w:val="none"/>
          </w:rPr>
          <w:t>http://www.djadjawurrung.com.au/contact-us</w:t>
        </w:r>
      </w:hyperlink>
    </w:p>
    <w:p w:rsidR="00B17B04" w:rsidRPr="005E0A00" w:rsidRDefault="00B17B04" w:rsidP="00B17B04">
      <w:pPr>
        <w:pStyle w:val="Body"/>
      </w:pPr>
      <w:r w:rsidRPr="005E0A00">
        <w:t>5444 2888</w:t>
      </w:r>
    </w:p>
    <w:p w:rsidR="00B17B04" w:rsidRDefault="00B17B04" w:rsidP="00DE6DD3">
      <w:pPr>
        <w:pStyle w:val="Body"/>
      </w:pPr>
    </w:p>
    <w:p w:rsidR="00B17B04" w:rsidRDefault="00B17B04" w:rsidP="00DE6DD3">
      <w:pPr>
        <w:pStyle w:val="Body"/>
      </w:pPr>
    </w:p>
    <w:p w:rsidR="00B17B04" w:rsidRDefault="00B17B04"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A325EE" w:rsidRDefault="00A325EE" w:rsidP="00DE6DD3">
      <w:pPr>
        <w:pStyle w:val="Body"/>
      </w:pPr>
    </w:p>
    <w:p w:rsidR="00DE6DD3" w:rsidRDefault="00DE6DD3" w:rsidP="00DE6DD3">
      <w:pPr>
        <w:pStyle w:val="Body"/>
      </w:pPr>
    </w:p>
    <w:p w:rsidR="00502FE5" w:rsidRDefault="00862DE0" w:rsidP="007429A1">
      <w:pPr>
        <w:pStyle w:val="Body"/>
      </w:pPr>
      <w:r>
        <w:rPr>
          <w:rFonts w:eastAsia="Calibri"/>
          <w:noProof/>
          <w:lang w:eastAsia="en-AU"/>
        </w:rPr>
        <mc:AlternateContent>
          <mc:Choice Requires="wps">
            <w:drawing>
              <wp:anchor distT="0" distB="0" distL="114300" distR="114300" simplePos="0" relativeHeight="251659264" behindDoc="0" locked="0" layoutInCell="1" allowOverlap="1" wp14:anchorId="23FB2879" wp14:editId="754C7C73">
                <wp:simplePos x="0" y="0"/>
                <wp:positionH relativeFrom="column">
                  <wp:posOffset>-154305</wp:posOffset>
                </wp:positionH>
                <wp:positionV relativeFrom="paragraph">
                  <wp:posOffset>2540</wp:posOffset>
                </wp:positionV>
                <wp:extent cx="6682740" cy="2538095"/>
                <wp:effectExtent l="0" t="0" r="22860" b="14605"/>
                <wp:wrapNone/>
                <wp:docPr id="5" name="Text Box 5"/>
                <wp:cNvGraphicFramePr/>
                <a:graphic xmlns:a="http://schemas.openxmlformats.org/drawingml/2006/main">
                  <a:graphicData uri="http://schemas.microsoft.com/office/word/2010/wordprocessingShape">
                    <wps:wsp>
                      <wps:cNvSpPr txBox="1"/>
                      <wps:spPr>
                        <a:xfrm>
                          <a:off x="0" y="0"/>
                          <a:ext cx="6682740" cy="2538095"/>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tbl>
                            <w:tblPr>
                              <w:tblW w:w="10456" w:type="dxa"/>
                              <w:tblLook w:val="01E0" w:firstRow="1" w:lastRow="1" w:firstColumn="1" w:lastColumn="1" w:noHBand="0" w:noVBand="0"/>
                            </w:tblPr>
                            <w:tblGrid>
                              <w:gridCol w:w="5228"/>
                              <w:gridCol w:w="5228"/>
                            </w:tblGrid>
                            <w:tr w:rsidR="009A2885" w:rsidRPr="0072604A" w:rsidTr="008157DC">
                              <w:trPr>
                                <w:trHeight w:val="2241"/>
                              </w:trPr>
                              <w:tc>
                                <w:tcPr>
                                  <w:tcW w:w="5228" w:type="dxa"/>
                                  <w:shd w:val="clear" w:color="auto" w:fill="auto"/>
                                </w:tcPr>
                                <w:p w:rsidR="009A2885" w:rsidRPr="00BE2F5F" w:rsidRDefault="009A2885" w:rsidP="008157DC">
                                  <w:pPr>
                                    <w:pStyle w:val="ImprintText"/>
                                  </w:pPr>
                                  <w:r w:rsidRPr="00BE2F5F">
                                    <w:t xml:space="preserve">© The State of Victoria Department of Environment, Land, Water and </w:t>
                                  </w:r>
                                  <w:r w:rsidRPr="00BE2F5F">
                                    <w:br/>
                                    <w:t>Planning 2015</w:t>
                                  </w:r>
                                </w:p>
                                <w:p w:rsidR="009A2885" w:rsidRPr="00BE2F5F" w:rsidRDefault="009A2885" w:rsidP="008157DC">
                                  <w:pPr>
                                    <w:pStyle w:val="ImprintText"/>
                                  </w:pPr>
                                  <w:r w:rsidRPr="00BE2F5F">
                                    <w:rPr>
                                      <w:noProof/>
                                      <w:lang w:eastAsia="en-AU"/>
                                    </w:rPr>
                                    <w:drawing>
                                      <wp:inline distT="0" distB="0" distL="0" distR="0" wp14:anchorId="0597FA2C" wp14:editId="326516A5">
                                        <wp:extent cx="762000" cy="266700"/>
                                        <wp:effectExtent l="0" t="0" r="0" b="0"/>
                                        <wp:docPr id="11" name="Picture 1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18"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9" w:history="1">
                                    <w:r w:rsidRPr="00BE2F5F">
                                      <w:rPr>
                                        <w:rStyle w:val="Hyperlink"/>
                                        <w:color w:val="auto"/>
                                        <w:u w:val="none"/>
                                      </w:rPr>
                                      <w:t>http://creativecommons.org/licenses/by/4.0/</w:t>
                                    </w:r>
                                  </w:hyperlink>
                                </w:p>
                                <w:p w:rsidR="00FB529B" w:rsidRDefault="00FB529B" w:rsidP="00FB529B">
                                  <w:pPr>
                                    <w:pStyle w:val="ImprintText"/>
                                    <w:rPr>
                                      <w:szCs w:val="16"/>
                                    </w:rPr>
                                  </w:pPr>
                                  <w:r>
                                    <w:rPr>
                                      <w:rFonts w:cs="Calibri"/>
                                      <w:b/>
                                      <w:bCs/>
                                      <w:color w:val="000000"/>
                                      <w:szCs w:val="16"/>
                                      <w:lang w:eastAsia="en-AU"/>
                                    </w:rPr>
                                    <w:t>ISBN 978-1-74146-774-1 (pdf)</w:t>
                                  </w:r>
                                </w:p>
                                <w:p w:rsidR="009A2885" w:rsidRPr="00BE2F5F" w:rsidRDefault="009A2885"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BE2F5F" w:rsidRDefault="00BE2F5F" w:rsidP="008157DC">
                                  <w:pPr>
                                    <w:pStyle w:val="ImprintText"/>
                                    <w:rPr>
                                      <w:sz w:val="28"/>
                                      <w:szCs w:val="28"/>
                                    </w:rPr>
                                  </w:pPr>
                                  <w:r w:rsidRPr="00750DFC">
                                    <w:rPr>
                                      <w:b/>
                                      <w:bCs/>
                                      <w:sz w:val="28"/>
                                      <w:szCs w:val="28"/>
                                    </w:rPr>
                                    <w:t>Accessibility</w:t>
                                  </w:r>
                                </w:p>
                                <w:p w:rsidR="009A2885" w:rsidRPr="00BE2F5F" w:rsidRDefault="009A2885" w:rsidP="00502FE5">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20" w:history="1">
                                    <w:r w:rsidRPr="00BE2F5F">
                                      <w:rPr>
                                        <w:sz w:val="28"/>
                                        <w:szCs w:val="28"/>
                                      </w:rPr>
                                      <w:t>customer.service@delwp.vic.gov.au</w:t>
                                    </w:r>
                                  </w:hyperlink>
                                  <w:r w:rsidRPr="00BE2F5F">
                                    <w:rPr>
                                      <w:sz w:val="28"/>
                                      <w:szCs w:val="28"/>
                                    </w:rPr>
                                    <w:t xml:space="preserve"> via the National Relay Service on 133 677 </w:t>
                                  </w:r>
                                  <w:hyperlink r:id="rId21" w:history="1">
                                    <w:r w:rsidRPr="00BE2F5F">
                                      <w:rPr>
                                        <w:sz w:val="28"/>
                                        <w:szCs w:val="28"/>
                                      </w:rPr>
                                      <w:t>www.relayservice.com.au</w:t>
                                    </w:r>
                                  </w:hyperlink>
                                  <w:r w:rsidRPr="00BE2F5F">
                                    <w:rPr>
                                      <w:sz w:val="28"/>
                                      <w:szCs w:val="28"/>
                                    </w:rPr>
                                    <w:t xml:space="preserve">. This document is also available on the internet at </w:t>
                                  </w:r>
                                  <w:hyperlink r:id="rId22" w:history="1">
                                    <w:r w:rsidRPr="00BE2F5F">
                                      <w:rPr>
                                        <w:sz w:val="28"/>
                                        <w:szCs w:val="28"/>
                                      </w:rPr>
                                      <w:t>www.delwp.vic.gov.au</w:t>
                                    </w:r>
                                  </w:hyperlink>
                                  <w:r w:rsidRPr="00BE2F5F">
                                    <w:rPr>
                                      <w:sz w:val="28"/>
                                      <w:szCs w:val="28"/>
                                    </w:rPr>
                                    <w:br/>
                                  </w:r>
                                  <w:r w:rsidRPr="00BE2F5F">
                                    <w:rPr>
                                      <w:b/>
                                      <w:bCs/>
                                      <w:sz w:val="28"/>
                                      <w:szCs w:val="28"/>
                                    </w:rPr>
                                    <w:br/>
                                  </w:r>
                                </w:p>
                              </w:tc>
                            </w:tr>
                          </w:tbl>
                          <w:p w:rsidR="009A2885" w:rsidRDefault="009A28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2.15pt;margin-top:.2pt;width:526.2pt;height:199.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OxqgIAAN4FAAAOAAAAZHJzL2Uyb0RvYy54bWysVFFP2zAQfp+0/2D5fSQtLZSqKepATJMY&#10;oMHEs+vYbTTb59luk+7X7+wkbWG8MO0lsX3ffb77fHezy0YrshXOV2AKOjjJKRGGQ1mZVUF/PN18&#10;mlDiAzMlU2BEQXfC08v5xw+z2k7FENagSuEIkhg/rW1B1yHYaZZ5vhaa+ROwwqBRgtMs4NatstKx&#10;Gtm1yoZ5fpbV4ErrgAvv8fS6NdJ54pdS8HAvpReBqIJibCF9Xfou4zebz9h05ZhdV7wLg/1DFJpV&#10;Bi/dU12zwMjGVX9R6Yo78CDDCQedgZQVFykHzGaQv8rmcc2sSLmgON7uZfL/j5bfbR8cqcqCjikx&#10;TOMTPYkmkM/QkHFUp7Z+iqBHi7DQ4DG+cn/u8TAm3Uin4x/TIWhHnXd7bSMZx8Ozs8nwfIQmjrbh&#10;+HSSXyT+7OBunQ9fBGgSFwV1+HhJU7a99QFDQWgPibd5UFV5UymVNrFgxJVyZMvwqVVIQaLHC5Qy&#10;pMZQTsd5In5hSyV3YFiuBgmjNvoblC3r+TjPU8lE3v7CFNcRE9qUiSGJVH5d6FHGVq60CjslIkaZ&#10;70Ki/Em1N/JgnAuzzyWhI0pi1u9x7PCHqN7j3OaBHulmMGHvrCsDrlWyV6MVqvzZyy9bPIp0lHdc&#10;hmbZpLrbV9MSyh0WmYO2Sb3lNxUWwi3z4YE57EosHpw04R4/UgE+JHQrStbgfr91HvHYLGilpMYu&#10;L6j/tWFOUKK+Gmyji8Eo1mRIm9H4fIgbd2xZHlvMRl8BVtcAZ5rlaRnxQfVL6UA/40BaxFvRxAzH&#10;uwsa+uVVaGcPDjQuFosEwkFgWbg1j5ZH6qhyLPOn5pk52/VCwDa6g34esOmrlmix0dPAYhNAVqlf&#10;os6tqp3+OERSuXYDL06p431CHcby/A8AAAD//wMAUEsDBBQABgAIAAAAIQAWCO0v3wAAAAkBAAAP&#10;AAAAZHJzL2Rvd25yZXYueG1sTI8xT8MwFIR3JP6D9ZDYWjuhqqoQpwIEgoEBCh3YnPiRBOznKHbb&#10;0F/P6wTj6U5335XryTuxxzH2gTRkcwUCqQm2p1bD+9vDbAUiJkPWuECo4QcjrKvzs9IUNhzoFfeb&#10;1AouoVgYDV1KQyFlbDr0Js7DgMTeZxi9SSzHVtrRHLjcO5krtZTe9MQLnRnwrsPme7PzGujx4/bZ&#10;3X8NKWYvyy0+Hbd5fdT68mK6uQaRcEp/YTjhMzpUzFSHHdkonIZZvrjiqIYFiJOt8lUGomatVAay&#10;KuX/B9UvAAAA//8DAFBLAQItABQABgAIAAAAIQC2gziS/gAAAOEBAAATAAAAAAAAAAAAAAAAAAAA&#10;AABbQ29udGVudF9UeXBlc10ueG1sUEsBAi0AFAAGAAgAAAAhADj9If/WAAAAlAEAAAsAAAAAAAAA&#10;AAAAAAAALwEAAF9yZWxzLy5yZWxzUEsBAi0AFAAGAAgAAAAhAJnKA7GqAgAA3gUAAA4AAAAAAAAA&#10;AAAAAAAALgIAAGRycy9lMm9Eb2MueG1sUEsBAi0AFAAGAAgAAAAhABYI7S/fAAAACQEAAA8AAAAA&#10;AAAAAAAAAAAABAUAAGRycy9kb3ducmV2LnhtbFBLBQYAAAAABAAEAPMAAAAQBgAAAAA=&#10;" fillcolor="white [3201]" strokecolor="#bfbfbf [2412]" strokeweight=".5pt">
                <v:textbox>
                  <w:txbxContent>
                    <w:tbl>
                      <w:tblPr>
                        <w:tblW w:w="10456" w:type="dxa"/>
                        <w:tblLook w:val="01E0" w:firstRow="1" w:lastRow="1" w:firstColumn="1" w:lastColumn="1" w:noHBand="0" w:noVBand="0"/>
                      </w:tblPr>
                      <w:tblGrid>
                        <w:gridCol w:w="5228"/>
                        <w:gridCol w:w="5228"/>
                      </w:tblGrid>
                      <w:tr w:rsidR="009A2885" w:rsidRPr="0072604A" w:rsidTr="008157DC">
                        <w:trPr>
                          <w:trHeight w:val="2241"/>
                        </w:trPr>
                        <w:tc>
                          <w:tcPr>
                            <w:tcW w:w="5228" w:type="dxa"/>
                            <w:shd w:val="clear" w:color="auto" w:fill="auto"/>
                          </w:tcPr>
                          <w:p w:rsidR="009A2885" w:rsidRPr="00BE2F5F" w:rsidRDefault="009A2885" w:rsidP="008157DC">
                            <w:pPr>
                              <w:pStyle w:val="ImprintText"/>
                            </w:pPr>
                            <w:r w:rsidRPr="00BE2F5F">
                              <w:t xml:space="preserve">© The State of Victoria Department of Environment, Land, Water and </w:t>
                            </w:r>
                            <w:r w:rsidRPr="00BE2F5F">
                              <w:br/>
                              <w:t>Planning 2015</w:t>
                            </w:r>
                          </w:p>
                          <w:p w:rsidR="009A2885" w:rsidRPr="00BE2F5F" w:rsidRDefault="009A2885" w:rsidP="008157DC">
                            <w:pPr>
                              <w:pStyle w:val="ImprintText"/>
                            </w:pPr>
                            <w:r w:rsidRPr="00BE2F5F">
                              <w:rPr>
                                <w:noProof/>
                                <w:lang w:eastAsia="en-AU"/>
                              </w:rPr>
                              <w:drawing>
                                <wp:inline distT="0" distB="0" distL="0" distR="0" wp14:anchorId="0597FA2C" wp14:editId="326516A5">
                                  <wp:extent cx="762000" cy="266700"/>
                                  <wp:effectExtent l="0" t="0" r="0" b="0"/>
                                  <wp:docPr id="11" name="Picture 1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3"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4" w:history="1">
                              <w:r w:rsidRPr="00BE2F5F">
                                <w:rPr>
                                  <w:rStyle w:val="Hyperlink"/>
                                  <w:color w:val="auto"/>
                                  <w:u w:val="none"/>
                                </w:rPr>
                                <w:t>http://creativecommons.org/licenses/by/4.0/</w:t>
                              </w:r>
                            </w:hyperlink>
                          </w:p>
                          <w:p w:rsidR="00FB529B" w:rsidRDefault="00FB529B" w:rsidP="00FB529B">
                            <w:pPr>
                              <w:pStyle w:val="ImprintText"/>
                              <w:rPr>
                                <w:szCs w:val="16"/>
                              </w:rPr>
                            </w:pPr>
                            <w:r>
                              <w:rPr>
                                <w:rFonts w:cs="Calibri"/>
                                <w:b/>
                                <w:bCs/>
                                <w:color w:val="000000"/>
                                <w:szCs w:val="16"/>
                                <w:lang w:eastAsia="en-AU"/>
                              </w:rPr>
                              <w:t>ISBN 978-1-74146-774-1 (pdf)</w:t>
                            </w:r>
                          </w:p>
                          <w:p w:rsidR="009A2885" w:rsidRPr="00BE2F5F" w:rsidRDefault="009A2885"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BE2F5F" w:rsidRDefault="00BE2F5F" w:rsidP="008157DC">
                            <w:pPr>
                              <w:pStyle w:val="ImprintText"/>
                              <w:rPr>
                                <w:sz w:val="28"/>
                                <w:szCs w:val="28"/>
                              </w:rPr>
                            </w:pPr>
                            <w:r w:rsidRPr="00750DFC">
                              <w:rPr>
                                <w:b/>
                                <w:bCs/>
                                <w:sz w:val="28"/>
                                <w:szCs w:val="28"/>
                              </w:rPr>
                              <w:t>Accessibility</w:t>
                            </w:r>
                          </w:p>
                          <w:p w:rsidR="009A2885" w:rsidRPr="00BE2F5F" w:rsidRDefault="009A2885" w:rsidP="00502FE5">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25" w:history="1">
                              <w:r w:rsidRPr="00BE2F5F">
                                <w:rPr>
                                  <w:sz w:val="28"/>
                                  <w:szCs w:val="28"/>
                                </w:rPr>
                                <w:t>customer.service@delwp.vic.gov.au</w:t>
                              </w:r>
                            </w:hyperlink>
                            <w:r w:rsidRPr="00BE2F5F">
                              <w:rPr>
                                <w:sz w:val="28"/>
                                <w:szCs w:val="28"/>
                              </w:rPr>
                              <w:t xml:space="preserve"> via the National Relay Service on 133 677 </w:t>
                            </w:r>
                            <w:hyperlink r:id="rId26" w:history="1">
                              <w:r w:rsidRPr="00BE2F5F">
                                <w:rPr>
                                  <w:sz w:val="28"/>
                                  <w:szCs w:val="28"/>
                                </w:rPr>
                                <w:t>www.relayservice.com.au</w:t>
                              </w:r>
                            </w:hyperlink>
                            <w:r w:rsidRPr="00BE2F5F">
                              <w:rPr>
                                <w:sz w:val="28"/>
                                <w:szCs w:val="28"/>
                              </w:rPr>
                              <w:t xml:space="preserve">. This document is also available on the internet at </w:t>
                            </w:r>
                            <w:hyperlink r:id="rId27" w:history="1">
                              <w:r w:rsidRPr="00BE2F5F">
                                <w:rPr>
                                  <w:sz w:val="28"/>
                                  <w:szCs w:val="28"/>
                                </w:rPr>
                                <w:t>www.delwp.vic.gov.au</w:t>
                              </w:r>
                            </w:hyperlink>
                            <w:r w:rsidRPr="00BE2F5F">
                              <w:rPr>
                                <w:sz w:val="28"/>
                                <w:szCs w:val="28"/>
                              </w:rPr>
                              <w:br/>
                            </w:r>
                            <w:r w:rsidRPr="00BE2F5F">
                              <w:rPr>
                                <w:b/>
                                <w:bCs/>
                                <w:sz w:val="28"/>
                                <w:szCs w:val="28"/>
                              </w:rPr>
                              <w:br/>
                            </w:r>
                          </w:p>
                        </w:tc>
                      </w:tr>
                    </w:tbl>
                    <w:p w:rsidR="009A2885" w:rsidRDefault="009A2885"/>
                  </w:txbxContent>
                </v:textbox>
              </v:shape>
            </w:pict>
          </mc:Fallback>
        </mc:AlternateContent>
      </w:r>
    </w:p>
    <w:p w:rsidR="00502FE5" w:rsidRDefault="00502FE5" w:rsidP="007429A1">
      <w:pPr>
        <w:pStyle w:val="Body"/>
      </w:pPr>
    </w:p>
    <w:p w:rsidR="00502FE5" w:rsidRDefault="00502FE5" w:rsidP="007429A1">
      <w:pPr>
        <w:pStyle w:val="Body"/>
      </w:pPr>
    </w:p>
    <w:p w:rsidR="00502FE5" w:rsidRDefault="00502FE5" w:rsidP="007429A1">
      <w:pPr>
        <w:pStyle w:val="Body"/>
      </w:pPr>
    </w:p>
    <w:p w:rsidR="00502FE5" w:rsidRPr="0079489C" w:rsidRDefault="00502FE5" w:rsidP="007429A1">
      <w:pPr>
        <w:pStyle w:val="Body"/>
      </w:pPr>
    </w:p>
    <w:sectPr w:rsidR="00502FE5" w:rsidRPr="0079489C" w:rsidSect="009A2885">
      <w:headerReference w:type="default" r:id="rId28"/>
      <w:footerReference w:type="default" r:id="rId29"/>
      <w:headerReference w:type="first" r:id="rId30"/>
      <w:footerReference w:type="first" r:id="rId31"/>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77" w:rsidRDefault="00616077">
      <w:r>
        <w:separator/>
      </w:r>
    </w:p>
  </w:endnote>
  <w:endnote w:type="continuationSeparator" w:id="0">
    <w:p w:rsidR="00616077" w:rsidRDefault="0061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Pr="0072604A" w:rsidRDefault="002015AD" w:rsidP="0072604A">
    <w:pPr>
      <w:spacing w:before="480"/>
      <w:rPr>
        <w:rFonts w:cs="Calibri"/>
        <w:color w:val="636466"/>
        <w:sz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5E3342" w:rsidP="002015AD">
    <w:pPr>
      <w:pStyle w:val="Footer"/>
    </w:pPr>
    <w:r>
      <w:rPr>
        <w:noProof/>
        <w:lang w:eastAsia="en-AU"/>
      </w:rPr>
      <w:drawing>
        <wp:anchor distT="0" distB="0" distL="114300" distR="114300" simplePos="0" relativeHeight="251660288" behindDoc="0" locked="0" layoutInCell="1" allowOverlap="1">
          <wp:simplePos x="0" y="0"/>
          <wp:positionH relativeFrom="column">
            <wp:posOffset>4328519</wp:posOffset>
          </wp:positionH>
          <wp:positionV relativeFrom="paragraph">
            <wp:posOffset>30414</wp:posOffset>
          </wp:positionV>
          <wp:extent cx="1861200" cy="54000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14:sizeRelH relativeFrom="margin">
            <wp14:pctWidth>0</wp14:pctWidth>
          </wp14:sizeRelH>
          <wp14:sizeRelV relativeFrom="margin">
            <wp14:pctHeight>0</wp14:pctHeight>
          </wp14:sizeRelV>
        </wp:anchor>
      </w:drawing>
    </w:r>
    <w:r w:rsidR="0079489C" w:rsidRPr="0072604A">
      <w:rPr>
        <w:rFonts w:cs="Calibri"/>
        <w:color w:val="636466"/>
        <w:sz w:val="26"/>
      </w:rPr>
      <w:t>www.delwp.vic.gov.au</w:t>
    </w:r>
    <w:r w:rsidR="0079489C">
      <w:rPr>
        <w:noProof/>
        <w:lang w:eastAsia="en-A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77" w:rsidRDefault="00616077">
      <w:r>
        <w:separator/>
      </w:r>
    </w:p>
  </w:footnote>
  <w:footnote w:type="continuationSeparator" w:id="0">
    <w:p w:rsidR="00616077" w:rsidRDefault="00616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14:anchorId="6DC86651" wp14:editId="3C0A2BB6">
                <wp:simplePos x="0" y="0"/>
                <wp:positionH relativeFrom="column">
                  <wp:posOffset>-407670</wp:posOffset>
                </wp:positionH>
                <wp:positionV relativeFrom="paragraph">
                  <wp:posOffset>5715</wp:posOffset>
                </wp:positionV>
                <wp:extent cx="6867525" cy="819150"/>
                <wp:effectExtent l="0" t="0" r="9525" b="0"/>
                <wp:wrapNone/>
                <wp:docPr id="7" name="Picture 7"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63" w:rsidRPr="00F83A6F" w:rsidRDefault="00502FE5" w:rsidP="00B87CF6">
          <w:pPr>
            <w:pStyle w:val="CertHDWhite"/>
            <w:tabs>
              <w:tab w:val="left" w:pos="7513"/>
            </w:tabs>
          </w:pPr>
          <w:r>
            <w:t>Fishing and Hunting</w:t>
          </w:r>
        </w:p>
      </w:tc>
    </w:tr>
  </w:tbl>
  <w:p w:rsidR="009E66AE" w:rsidRDefault="009E66A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14:anchorId="684C3BE0" wp14:editId="4FA1E3BB">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9" name="Picture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7"/>
  </w:num>
  <w:num w:numId="14">
    <w:abstractNumId w:val="14"/>
  </w:num>
  <w:num w:numId="15">
    <w:abstractNumId w:val="16"/>
  </w:num>
  <w:num w:numId="16">
    <w:abstractNumId w:val="11"/>
  </w:num>
  <w:num w:numId="17">
    <w:abstractNumId w:val="16"/>
  </w:num>
  <w:num w:numId="18">
    <w:abstractNumId w:val="16"/>
  </w:num>
  <w:num w:numId="19">
    <w:abstractNumId w:val="16"/>
  </w:num>
  <w:num w:numId="20">
    <w:abstractNumId w:val="10"/>
  </w:num>
  <w:num w:numId="21">
    <w:abstractNumId w:val="12"/>
  </w:num>
  <w:num w:numId="22">
    <w:abstractNumId w:val="15"/>
  </w:num>
  <w:num w:numId="23">
    <w:abstractNumId w:val="1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059D7"/>
    <w:rsid w:val="00012793"/>
    <w:rsid w:val="00013D7A"/>
    <w:rsid w:val="0003050C"/>
    <w:rsid w:val="00034D96"/>
    <w:rsid w:val="0003535F"/>
    <w:rsid w:val="0004692B"/>
    <w:rsid w:val="00046D45"/>
    <w:rsid w:val="00055FEF"/>
    <w:rsid w:val="00063E31"/>
    <w:rsid w:val="0008754B"/>
    <w:rsid w:val="00091E87"/>
    <w:rsid w:val="0009699E"/>
    <w:rsid w:val="000A5541"/>
    <w:rsid w:val="000A6427"/>
    <w:rsid w:val="000C3259"/>
    <w:rsid w:val="000C39E4"/>
    <w:rsid w:val="00120C40"/>
    <w:rsid w:val="00120F3F"/>
    <w:rsid w:val="00124D70"/>
    <w:rsid w:val="00125376"/>
    <w:rsid w:val="00135491"/>
    <w:rsid w:val="00154577"/>
    <w:rsid w:val="0016026A"/>
    <w:rsid w:val="00177115"/>
    <w:rsid w:val="00181FBC"/>
    <w:rsid w:val="001A071C"/>
    <w:rsid w:val="001A243B"/>
    <w:rsid w:val="001C3014"/>
    <w:rsid w:val="001C72EA"/>
    <w:rsid w:val="001D4A2D"/>
    <w:rsid w:val="001E2024"/>
    <w:rsid w:val="002015AD"/>
    <w:rsid w:val="0020255B"/>
    <w:rsid w:val="002103C2"/>
    <w:rsid w:val="002122D2"/>
    <w:rsid w:val="00217D52"/>
    <w:rsid w:val="00236DA4"/>
    <w:rsid w:val="00246D68"/>
    <w:rsid w:val="002526EA"/>
    <w:rsid w:val="002611D9"/>
    <w:rsid w:val="00261DCB"/>
    <w:rsid w:val="00271B91"/>
    <w:rsid w:val="00285925"/>
    <w:rsid w:val="002B696E"/>
    <w:rsid w:val="002C12E4"/>
    <w:rsid w:val="002C2E75"/>
    <w:rsid w:val="002C45F1"/>
    <w:rsid w:val="002C4BC3"/>
    <w:rsid w:val="002C5BA2"/>
    <w:rsid w:val="002D3CC8"/>
    <w:rsid w:val="002D680B"/>
    <w:rsid w:val="002E2EC1"/>
    <w:rsid w:val="002E4A01"/>
    <w:rsid w:val="003057FD"/>
    <w:rsid w:val="00321F9E"/>
    <w:rsid w:val="00324E70"/>
    <w:rsid w:val="00324F0E"/>
    <w:rsid w:val="00330679"/>
    <w:rsid w:val="003C2962"/>
    <w:rsid w:val="003E0B9A"/>
    <w:rsid w:val="003F437F"/>
    <w:rsid w:val="003F5A5C"/>
    <w:rsid w:val="00404EF3"/>
    <w:rsid w:val="0043348E"/>
    <w:rsid w:val="004426E1"/>
    <w:rsid w:val="00442BE4"/>
    <w:rsid w:val="00455AC0"/>
    <w:rsid w:val="00472635"/>
    <w:rsid w:val="0047538B"/>
    <w:rsid w:val="00495D6D"/>
    <w:rsid w:val="004969C1"/>
    <w:rsid w:val="004E4BDF"/>
    <w:rsid w:val="004E58C3"/>
    <w:rsid w:val="004E6888"/>
    <w:rsid w:val="00502FE5"/>
    <w:rsid w:val="0050769F"/>
    <w:rsid w:val="00512102"/>
    <w:rsid w:val="005229C6"/>
    <w:rsid w:val="00524C52"/>
    <w:rsid w:val="005304F7"/>
    <w:rsid w:val="00534B38"/>
    <w:rsid w:val="00540762"/>
    <w:rsid w:val="00544B68"/>
    <w:rsid w:val="00557AFB"/>
    <w:rsid w:val="00557B17"/>
    <w:rsid w:val="00573E23"/>
    <w:rsid w:val="00575F3A"/>
    <w:rsid w:val="00582724"/>
    <w:rsid w:val="005B3CE8"/>
    <w:rsid w:val="005E0A00"/>
    <w:rsid w:val="005E3342"/>
    <w:rsid w:val="00603134"/>
    <w:rsid w:val="00606451"/>
    <w:rsid w:val="00616077"/>
    <w:rsid w:val="00623482"/>
    <w:rsid w:val="006322A4"/>
    <w:rsid w:val="00644C88"/>
    <w:rsid w:val="00656186"/>
    <w:rsid w:val="006741C5"/>
    <w:rsid w:val="006750E0"/>
    <w:rsid w:val="00675636"/>
    <w:rsid w:val="006B4688"/>
    <w:rsid w:val="006F53DB"/>
    <w:rsid w:val="006F707D"/>
    <w:rsid w:val="0070362A"/>
    <w:rsid w:val="0072604A"/>
    <w:rsid w:val="00731631"/>
    <w:rsid w:val="007429A1"/>
    <w:rsid w:val="00752E36"/>
    <w:rsid w:val="00756A07"/>
    <w:rsid w:val="007702BD"/>
    <w:rsid w:val="0079021A"/>
    <w:rsid w:val="0079489C"/>
    <w:rsid w:val="00795920"/>
    <w:rsid w:val="007B0E45"/>
    <w:rsid w:val="007B1469"/>
    <w:rsid w:val="007B62F8"/>
    <w:rsid w:val="007B6E26"/>
    <w:rsid w:val="007D7CF8"/>
    <w:rsid w:val="007E3E33"/>
    <w:rsid w:val="007F5211"/>
    <w:rsid w:val="00824C60"/>
    <w:rsid w:val="0083541B"/>
    <w:rsid w:val="00862DE0"/>
    <w:rsid w:val="00865A63"/>
    <w:rsid w:val="00872BAF"/>
    <w:rsid w:val="008732EE"/>
    <w:rsid w:val="008832F9"/>
    <w:rsid w:val="008A3B87"/>
    <w:rsid w:val="008A6BBA"/>
    <w:rsid w:val="008B0572"/>
    <w:rsid w:val="008B61B5"/>
    <w:rsid w:val="008B7ABA"/>
    <w:rsid w:val="008C1B1D"/>
    <w:rsid w:val="008F4932"/>
    <w:rsid w:val="009256BC"/>
    <w:rsid w:val="00926BDE"/>
    <w:rsid w:val="00927E6A"/>
    <w:rsid w:val="00953344"/>
    <w:rsid w:val="00962D3B"/>
    <w:rsid w:val="00972191"/>
    <w:rsid w:val="00981EA2"/>
    <w:rsid w:val="00984CE4"/>
    <w:rsid w:val="00986063"/>
    <w:rsid w:val="009872FB"/>
    <w:rsid w:val="00996578"/>
    <w:rsid w:val="009A2885"/>
    <w:rsid w:val="009C3B5A"/>
    <w:rsid w:val="009E666D"/>
    <w:rsid w:val="009E66AE"/>
    <w:rsid w:val="009F2D92"/>
    <w:rsid w:val="00A0021E"/>
    <w:rsid w:val="00A03F08"/>
    <w:rsid w:val="00A04614"/>
    <w:rsid w:val="00A11FE6"/>
    <w:rsid w:val="00A325EE"/>
    <w:rsid w:val="00A357C2"/>
    <w:rsid w:val="00A36BC9"/>
    <w:rsid w:val="00A37BFA"/>
    <w:rsid w:val="00A4593C"/>
    <w:rsid w:val="00A56C4D"/>
    <w:rsid w:val="00A6450E"/>
    <w:rsid w:val="00A67D11"/>
    <w:rsid w:val="00A730A4"/>
    <w:rsid w:val="00A8355F"/>
    <w:rsid w:val="00A83A7C"/>
    <w:rsid w:val="00A85593"/>
    <w:rsid w:val="00AA6401"/>
    <w:rsid w:val="00AC0ECF"/>
    <w:rsid w:val="00AF4DB4"/>
    <w:rsid w:val="00B068DA"/>
    <w:rsid w:val="00B077CF"/>
    <w:rsid w:val="00B137B4"/>
    <w:rsid w:val="00B17B04"/>
    <w:rsid w:val="00B24A07"/>
    <w:rsid w:val="00B475BF"/>
    <w:rsid w:val="00B5312C"/>
    <w:rsid w:val="00B5552A"/>
    <w:rsid w:val="00B728B3"/>
    <w:rsid w:val="00B87CF6"/>
    <w:rsid w:val="00B95745"/>
    <w:rsid w:val="00BB37E4"/>
    <w:rsid w:val="00BC0B9F"/>
    <w:rsid w:val="00BC343B"/>
    <w:rsid w:val="00BC5739"/>
    <w:rsid w:val="00BD4BC3"/>
    <w:rsid w:val="00BE2F5F"/>
    <w:rsid w:val="00BF62F9"/>
    <w:rsid w:val="00C061DD"/>
    <w:rsid w:val="00C12A10"/>
    <w:rsid w:val="00C36059"/>
    <w:rsid w:val="00C403BA"/>
    <w:rsid w:val="00C46B5E"/>
    <w:rsid w:val="00C651CE"/>
    <w:rsid w:val="00C73267"/>
    <w:rsid w:val="00C772CA"/>
    <w:rsid w:val="00C86B17"/>
    <w:rsid w:val="00CA19B7"/>
    <w:rsid w:val="00CD5180"/>
    <w:rsid w:val="00CE10A1"/>
    <w:rsid w:val="00CF5E50"/>
    <w:rsid w:val="00D01BC5"/>
    <w:rsid w:val="00D031F0"/>
    <w:rsid w:val="00D033C6"/>
    <w:rsid w:val="00D114E4"/>
    <w:rsid w:val="00D11924"/>
    <w:rsid w:val="00D13102"/>
    <w:rsid w:val="00D33BE6"/>
    <w:rsid w:val="00D444E8"/>
    <w:rsid w:val="00D54DE0"/>
    <w:rsid w:val="00D57FF0"/>
    <w:rsid w:val="00D634D8"/>
    <w:rsid w:val="00DA0042"/>
    <w:rsid w:val="00DC573E"/>
    <w:rsid w:val="00DC68E1"/>
    <w:rsid w:val="00DD0AB3"/>
    <w:rsid w:val="00DD3436"/>
    <w:rsid w:val="00DE2624"/>
    <w:rsid w:val="00DE5117"/>
    <w:rsid w:val="00DE6DD3"/>
    <w:rsid w:val="00DF6665"/>
    <w:rsid w:val="00DF784B"/>
    <w:rsid w:val="00E07718"/>
    <w:rsid w:val="00E15BD0"/>
    <w:rsid w:val="00E2394C"/>
    <w:rsid w:val="00E30FFD"/>
    <w:rsid w:val="00E325A1"/>
    <w:rsid w:val="00E464E4"/>
    <w:rsid w:val="00E51072"/>
    <w:rsid w:val="00E56D27"/>
    <w:rsid w:val="00E6278D"/>
    <w:rsid w:val="00E8448C"/>
    <w:rsid w:val="00E9178F"/>
    <w:rsid w:val="00EA31C2"/>
    <w:rsid w:val="00EB2BB2"/>
    <w:rsid w:val="00EB75EA"/>
    <w:rsid w:val="00EC446A"/>
    <w:rsid w:val="00EC4DCD"/>
    <w:rsid w:val="00EC6F19"/>
    <w:rsid w:val="00F0013D"/>
    <w:rsid w:val="00F13B95"/>
    <w:rsid w:val="00F14436"/>
    <w:rsid w:val="00F15CF7"/>
    <w:rsid w:val="00F2129C"/>
    <w:rsid w:val="00F26C14"/>
    <w:rsid w:val="00F27E16"/>
    <w:rsid w:val="00F46148"/>
    <w:rsid w:val="00F54CCE"/>
    <w:rsid w:val="00F67782"/>
    <w:rsid w:val="00F708A6"/>
    <w:rsid w:val="00F74678"/>
    <w:rsid w:val="00F83A6F"/>
    <w:rsid w:val="00F845F4"/>
    <w:rsid w:val="00F910D5"/>
    <w:rsid w:val="00F930FD"/>
    <w:rsid w:val="00F94FF1"/>
    <w:rsid w:val="00FA2BC8"/>
    <w:rsid w:val="00FB529B"/>
    <w:rsid w:val="00FC01F8"/>
    <w:rsid w:val="00FD34FA"/>
    <w:rsid w:val="00FD674C"/>
    <w:rsid w:val="00FE229F"/>
    <w:rsid w:val="00FE4EB7"/>
    <w:rsid w:val="00FE611F"/>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Tabletext">
    <w:name w:val="Table text"/>
    <w:basedOn w:val="Normal"/>
    <w:qFormat/>
    <w:rsid w:val="00B728B3"/>
    <w:pPr>
      <w:spacing w:before="40" w:after="40"/>
    </w:pPr>
    <w:rPr>
      <w:rFonts w:ascii="Helvetica" w:eastAsiaTheme="minorEastAsia" w:hAnsi="Helvetica" w:cstheme="minorBidi"/>
      <w:sz w:val="18"/>
      <w:lang w:val="en-US"/>
    </w:rPr>
  </w:style>
  <w:style w:type="table" w:styleId="LightList-Accent5">
    <w:name w:val="Light List Accent 5"/>
    <w:basedOn w:val="TableNormal"/>
    <w:uiPriority w:val="61"/>
    <w:rsid w:val="00B728B3"/>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semiHidden/>
    <w:rsid w:val="000A6427"/>
    <w:rPr>
      <w:sz w:val="16"/>
      <w:szCs w:val="16"/>
    </w:rPr>
  </w:style>
  <w:style w:type="paragraph" w:styleId="CommentText">
    <w:name w:val="annotation text"/>
    <w:basedOn w:val="Normal"/>
    <w:link w:val="CommentTextChar"/>
    <w:semiHidden/>
    <w:rsid w:val="000A6427"/>
    <w:rPr>
      <w:sz w:val="20"/>
      <w:szCs w:val="20"/>
    </w:rPr>
  </w:style>
  <w:style w:type="character" w:customStyle="1" w:styleId="CommentTextChar">
    <w:name w:val="Comment Text Char"/>
    <w:basedOn w:val="DefaultParagraphFont"/>
    <w:link w:val="CommentText"/>
    <w:semiHidden/>
    <w:rsid w:val="000A6427"/>
    <w:rPr>
      <w:rFonts w:ascii="Calibri" w:hAnsi="Calibri"/>
      <w:lang w:eastAsia="en-US"/>
    </w:rPr>
  </w:style>
  <w:style w:type="paragraph" w:styleId="CommentSubject">
    <w:name w:val="annotation subject"/>
    <w:basedOn w:val="CommentText"/>
    <w:next w:val="CommentText"/>
    <w:link w:val="CommentSubjectChar"/>
    <w:semiHidden/>
    <w:rsid w:val="000A6427"/>
    <w:rPr>
      <w:b/>
      <w:bCs/>
    </w:rPr>
  </w:style>
  <w:style w:type="character" w:customStyle="1" w:styleId="CommentSubjectChar">
    <w:name w:val="Comment Subject Char"/>
    <w:basedOn w:val="CommentTextChar"/>
    <w:link w:val="CommentSubject"/>
    <w:semiHidden/>
    <w:rsid w:val="000A6427"/>
    <w:rPr>
      <w:rFonts w:ascii="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Tabletext">
    <w:name w:val="Table text"/>
    <w:basedOn w:val="Normal"/>
    <w:qFormat/>
    <w:rsid w:val="00B728B3"/>
    <w:pPr>
      <w:spacing w:before="40" w:after="40"/>
    </w:pPr>
    <w:rPr>
      <w:rFonts w:ascii="Helvetica" w:eastAsiaTheme="minorEastAsia" w:hAnsi="Helvetica" w:cstheme="minorBidi"/>
      <w:sz w:val="18"/>
      <w:lang w:val="en-US"/>
    </w:rPr>
  </w:style>
  <w:style w:type="table" w:styleId="LightList-Accent5">
    <w:name w:val="Light List Accent 5"/>
    <w:basedOn w:val="TableNormal"/>
    <w:uiPriority w:val="61"/>
    <w:rsid w:val="00B728B3"/>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semiHidden/>
    <w:rsid w:val="000A6427"/>
    <w:rPr>
      <w:sz w:val="16"/>
      <w:szCs w:val="16"/>
    </w:rPr>
  </w:style>
  <w:style w:type="paragraph" w:styleId="CommentText">
    <w:name w:val="annotation text"/>
    <w:basedOn w:val="Normal"/>
    <w:link w:val="CommentTextChar"/>
    <w:semiHidden/>
    <w:rsid w:val="000A6427"/>
    <w:rPr>
      <w:sz w:val="20"/>
      <w:szCs w:val="20"/>
    </w:rPr>
  </w:style>
  <w:style w:type="character" w:customStyle="1" w:styleId="CommentTextChar">
    <w:name w:val="Comment Text Char"/>
    <w:basedOn w:val="DefaultParagraphFont"/>
    <w:link w:val="CommentText"/>
    <w:semiHidden/>
    <w:rsid w:val="000A6427"/>
    <w:rPr>
      <w:rFonts w:ascii="Calibri" w:hAnsi="Calibri"/>
      <w:lang w:eastAsia="en-US"/>
    </w:rPr>
  </w:style>
  <w:style w:type="paragraph" w:styleId="CommentSubject">
    <w:name w:val="annotation subject"/>
    <w:basedOn w:val="CommentText"/>
    <w:next w:val="CommentText"/>
    <w:link w:val="CommentSubjectChar"/>
    <w:semiHidden/>
    <w:rsid w:val="000A6427"/>
    <w:rPr>
      <w:b/>
      <w:bCs/>
    </w:rPr>
  </w:style>
  <w:style w:type="character" w:customStyle="1" w:styleId="CommentSubjectChar">
    <w:name w:val="Comment Subject Char"/>
    <w:basedOn w:val="CommentTextChar"/>
    <w:link w:val="CommentSubject"/>
    <w:semiHidden/>
    <w:rsid w:val="000A6427"/>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4428">
      <w:bodyDiv w:val="1"/>
      <w:marLeft w:val="0"/>
      <w:marRight w:val="0"/>
      <w:marTop w:val="0"/>
      <w:marBottom w:val="0"/>
      <w:divBdr>
        <w:top w:val="none" w:sz="0" w:space="0" w:color="auto"/>
        <w:left w:val="none" w:sz="0" w:space="0" w:color="auto"/>
        <w:bottom w:val="none" w:sz="0" w:space="0" w:color="auto"/>
        <w:right w:val="none" w:sz="0" w:space="0" w:color="auto"/>
      </w:divBdr>
    </w:div>
    <w:div w:id="244265625">
      <w:bodyDiv w:val="1"/>
      <w:marLeft w:val="0"/>
      <w:marRight w:val="0"/>
      <w:marTop w:val="0"/>
      <w:marBottom w:val="0"/>
      <w:divBdr>
        <w:top w:val="none" w:sz="0" w:space="0" w:color="auto"/>
        <w:left w:val="none" w:sz="0" w:space="0" w:color="auto"/>
        <w:bottom w:val="none" w:sz="0" w:space="0" w:color="auto"/>
        <w:right w:val="none" w:sz="0" w:space="0" w:color="auto"/>
      </w:divBdr>
    </w:div>
    <w:div w:id="252058041">
      <w:bodyDiv w:val="1"/>
      <w:marLeft w:val="0"/>
      <w:marRight w:val="0"/>
      <w:marTop w:val="0"/>
      <w:marBottom w:val="0"/>
      <w:divBdr>
        <w:top w:val="none" w:sz="0" w:space="0" w:color="auto"/>
        <w:left w:val="none" w:sz="0" w:space="0" w:color="auto"/>
        <w:bottom w:val="none" w:sz="0" w:space="0" w:color="auto"/>
        <w:right w:val="none" w:sz="0" w:space="0" w:color="auto"/>
      </w:divBdr>
    </w:div>
    <w:div w:id="327363833">
      <w:bodyDiv w:val="1"/>
      <w:marLeft w:val="0"/>
      <w:marRight w:val="0"/>
      <w:marTop w:val="0"/>
      <w:marBottom w:val="0"/>
      <w:divBdr>
        <w:top w:val="none" w:sz="0" w:space="0" w:color="auto"/>
        <w:left w:val="none" w:sz="0" w:space="0" w:color="auto"/>
        <w:bottom w:val="none" w:sz="0" w:space="0" w:color="auto"/>
        <w:right w:val="none" w:sz="0" w:space="0" w:color="auto"/>
      </w:divBdr>
    </w:div>
    <w:div w:id="428506588">
      <w:bodyDiv w:val="1"/>
      <w:marLeft w:val="0"/>
      <w:marRight w:val="0"/>
      <w:marTop w:val="0"/>
      <w:marBottom w:val="0"/>
      <w:divBdr>
        <w:top w:val="none" w:sz="0" w:space="0" w:color="auto"/>
        <w:left w:val="none" w:sz="0" w:space="0" w:color="auto"/>
        <w:bottom w:val="none" w:sz="0" w:space="0" w:color="auto"/>
        <w:right w:val="none" w:sz="0" w:space="0" w:color="auto"/>
      </w:divBdr>
    </w:div>
    <w:div w:id="735514956">
      <w:bodyDiv w:val="1"/>
      <w:marLeft w:val="0"/>
      <w:marRight w:val="0"/>
      <w:marTop w:val="0"/>
      <w:marBottom w:val="0"/>
      <w:divBdr>
        <w:top w:val="none" w:sz="0" w:space="0" w:color="auto"/>
        <w:left w:val="none" w:sz="0" w:space="0" w:color="auto"/>
        <w:bottom w:val="none" w:sz="0" w:space="0" w:color="auto"/>
        <w:right w:val="none" w:sz="0" w:space="0" w:color="auto"/>
      </w:divBdr>
    </w:div>
    <w:div w:id="782001012">
      <w:bodyDiv w:val="1"/>
      <w:marLeft w:val="0"/>
      <w:marRight w:val="0"/>
      <w:marTop w:val="0"/>
      <w:marBottom w:val="0"/>
      <w:divBdr>
        <w:top w:val="none" w:sz="0" w:space="0" w:color="auto"/>
        <w:left w:val="none" w:sz="0" w:space="0" w:color="auto"/>
        <w:bottom w:val="none" w:sz="0" w:space="0" w:color="auto"/>
        <w:right w:val="none" w:sz="0" w:space="0" w:color="auto"/>
      </w:divBdr>
    </w:div>
    <w:div w:id="995761832">
      <w:bodyDiv w:val="1"/>
      <w:marLeft w:val="0"/>
      <w:marRight w:val="0"/>
      <w:marTop w:val="0"/>
      <w:marBottom w:val="0"/>
      <w:divBdr>
        <w:top w:val="none" w:sz="0" w:space="0" w:color="auto"/>
        <w:left w:val="none" w:sz="0" w:space="0" w:color="auto"/>
        <w:bottom w:val="none" w:sz="0" w:space="0" w:color="auto"/>
        <w:right w:val="none" w:sz="0" w:space="0" w:color="auto"/>
      </w:divBdr>
    </w:div>
    <w:div w:id="1097286873">
      <w:bodyDiv w:val="1"/>
      <w:marLeft w:val="0"/>
      <w:marRight w:val="0"/>
      <w:marTop w:val="0"/>
      <w:marBottom w:val="0"/>
      <w:divBdr>
        <w:top w:val="none" w:sz="0" w:space="0" w:color="auto"/>
        <w:left w:val="none" w:sz="0" w:space="0" w:color="auto"/>
        <w:bottom w:val="none" w:sz="0" w:space="0" w:color="auto"/>
        <w:right w:val="none" w:sz="0" w:space="0" w:color="auto"/>
      </w:divBdr>
    </w:div>
    <w:div w:id="1335231381">
      <w:bodyDiv w:val="1"/>
      <w:marLeft w:val="0"/>
      <w:marRight w:val="0"/>
      <w:marTop w:val="0"/>
      <w:marBottom w:val="0"/>
      <w:divBdr>
        <w:top w:val="none" w:sz="0" w:space="0" w:color="auto"/>
        <w:left w:val="none" w:sz="0" w:space="0" w:color="auto"/>
        <w:bottom w:val="none" w:sz="0" w:space="0" w:color="auto"/>
        <w:right w:val="none" w:sz="0" w:space="0" w:color="auto"/>
      </w:divBdr>
    </w:div>
    <w:div w:id="1335455273">
      <w:bodyDiv w:val="1"/>
      <w:marLeft w:val="0"/>
      <w:marRight w:val="0"/>
      <w:marTop w:val="0"/>
      <w:marBottom w:val="0"/>
      <w:divBdr>
        <w:top w:val="none" w:sz="0" w:space="0" w:color="auto"/>
        <w:left w:val="none" w:sz="0" w:space="0" w:color="auto"/>
        <w:bottom w:val="none" w:sz="0" w:space="0" w:color="auto"/>
        <w:right w:val="none" w:sz="0" w:space="0" w:color="auto"/>
      </w:divBdr>
    </w:div>
    <w:div w:id="1403219265">
      <w:bodyDiv w:val="1"/>
      <w:marLeft w:val="0"/>
      <w:marRight w:val="0"/>
      <w:marTop w:val="0"/>
      <w:marBottom w:val="0"/>
      <w:divBdr>
        <w:top w:val="none" w:sz="0" w:space="0" w:color="auto"/>
        <w:left w:val="none" w:sz="0" w:space="0" w:color="auto"/>
        <w:bottom w:val="none" w:sz="0" w:space="0" w:color="auto"/>
        <w:right w:val="none" w:sz="0" w:space="0" w:color="auto"/>
      </w:divBdr>
    </w:div>
    <w:div w:id="1578858820">
      <w:bodyDiv w:val="1"/>
      <w:marLeft w:val="0"/>
      <w:marRight w:val="0"/>
      <w:marTop w:val="0"/>
      <w:marBottom w:val="0"/>
      <w:divBdr>
        <w:top w:val="none" w:sz="0" w:space="0" w:color="auto"/>
        <w:left w:val="none" w:sz="0" w:space="0" w:color="auto"/>
        <w:bottom w:val="none" w:sz="0" w:space="0" w:color="auto"/>
        <w:right w:val="none" w:sz="0" w:space="0" w:color="auto"/>
      </w:divBdr>
    </w:div>
    <w:div w:id="1612979455">
      <w:bodyDiv w:val="1"/>
      <w:marLeft w:val="0"/>
      <w:marRight w:val="0"/>
      <w:marTop w:val="0"/>
      <w:marBottom w:val="0"/>
      <w:divBdr>
        <w:top w:val="none" w:sz="0" w:space="0" w:color="auto"/>
        <w:left w:val="none" w:sz="0" w:space="0" w:color="auto"/>
        <w:bottom w:val="none" w:sz="0" w:space="0" w:color="auto"/>
        <w:right w:val="none" w:sz="0" w:space="0" w:color="auto"/>
      </w:divBdr>
    </w:div>
    <w:div w:id="1880821708">
      <w:bodyDiv w:val="1"/>
      <w:marLeft w:val="0"/>
      <w:marRight w:val="0"/>
      <w:marTop w:val="0"/>
      <w:marBottom w:val="0"/>
      <w:divBdr>
        <w:top w:val="none" w:sz="0" w:space="0" w:color="auto"/>
        <w:left w:val="none" w:sz="0" w:space="0" w:color="auto"/>
        <w:bottom w:val="none" w:sz="0" w:space="0" w:color="auto"/>
        <w:right w:val="none" w:sz="0" w:space="0" w:color="auto"/>
      </w:divBdr>
    </w:div>
    <w:div w:id="1970629096">
      <w:bodyDiv w:val="1"/>
      <w:marLeft w:val="0"/>
      <w:marRight w:val="0"/>
      <w:marTop w:val="0"/>
      <w:marBottom w:val="0"/>
      <w:divBdr>
        <w:top w:val="none" w:sz="0" w:space="0" w:color="auto"/>
        <w:left w:val="none" w:sz="0" w:space="0" w:color="auto"/>
        <w:bottom w:val="none" w:sz="0" w:space="0" w:color="auto"/>
        <w:right w:val="none" w:sz="0" w:space="0" w:color="auto"/>
      </w:divBdr>
    </w:div>
    <w:div w:id="199891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vic.gov.au" TargetMode="External"/><Relationship Id="rId13" Type="http://schemas.openxmlformats.org/officeDocument/2006/relationships/hyperlink" Target="http://www.depi.vic.gov.au/agriculture-and-food/animal-health-and-welfare/animal-welfare/humane-vertebrate-pest-control" TargetMode="External"/><Relationship Id="rId18" Type="http://schemas.openxmlformats.org/officeDocument/2006/relationships/hyperlink" Target="http://creativecommons.org/licenses/by/4.0/" TargetMode="External"/><Relationship Id="rId26" Type="http://schemas.openxmlformats.org/officeDocument/2006/relationships/hyperlink" Target="http://www.relayservice.com.au" TargetMode="External"/><Relationship Id="rId3" Type="http://schemas.microsoft.com/office/2007/relationships/stylesWithEffects" Target="stylesWithEffects.xml"/><Relationship Id="rId21" Type="http://schemas.openxmlformats.org/officeDocument/2006/relationships/hyperlink" Target="http://www.relayservice.com.au" TargetMode="External"/><Relationship Id="rId7" Type="http://schemas.openxmlformats.org/officeDocument/2006/relationships/endnotes" Target="endnotes.xml"/><Relationship Id="rId12" Type="http://schemas.openxmlformats.org/officeDocument/2006/relationships/hyperlink" Target="http://www.depi.vic.gov.au/agriculture-and-food/animal-health-and-welfare/animal-welfare/animal-welfare-legislation/victorian-codes-of-practice-for-animal-welfare/code-of-practice-for-the-welfare-of-animals-in-hunting-revision-no.-1" TargetMode="External"/><Relationship Id="rId17" Type="http://schemas.openxmlformats.org/officeDocument/2006/relationships/image" Target="media/image1.emf"/><Relationship Id="rId25" Type="http://schemas.openxmlformats.org/officeDocument/2006/relationships/hyperlink" Target="mailto:customer.service@delwp.vic.gov.a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jadjawurrung.com.au/contact-us" TargetMode="External"/><Relationship Id="rId20" Type="http://schemas.openxmlformats.org/officeDocument/2006/relationships/hyperlink" Target="mailto:customer.service@delwp.vic.gov.a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ma.vic.gov.au" TargetMode="External"/><Relationship Id="rId24" Type="http://schemas.openxmlformats.org/officeDocument/2006/relationships/hyperlink" Target="http://creativecommons.org/licenses/by/4.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jadjawurrung.com.au/maps" TargetMode="External"/><Relationship Id="rId23" Type="http://schemas.openxmlformats.org/officeDocument/2006/relationships/hyperlink" Target="http://creativecommons.org/licenses/by/4.0/" TargetMode="External"/><Relationship Id="rId28" Type="http://schemas.openxmlformats.org/officeDocument/2006/relationships/header" Target="header1.xml"/><Relationship Id="rId10" Type="http://schemas.openxmlformats.org/officeDocument/2006/relationships/hyperlink" Target="http://www.gma.vic.gov.au/education/better-hunting/game-hunting-app" TargetMode="External"/><Relationship Id="rId19" Type="http://schemas.openxmlformats.org/officeDocument/2006/relationships/hyperlink" Target="http://creativecommons.org/licenses/by/4.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griculture.vic.gov.au/fisheries/recreational-fishing/recreational-fishing-guide" TargetMode="External"/><Relationship Id="rId14" Type="http://schemas.openxmlformats.org/officeDocument/2006/relationships/hyperlink" Target="http://www.justice.vic.gov.au/home/your+rights/native+title/dja+dja+wurrung+settlement+commences" TargetMode="External"/><Relationship Id="rId22" Type="http://schemas.openxmlformats.org/officeDocument/2006/relationships/hyperlink" Target="http://www.delwp.vic.gov.au" TargetMode="External"/><Relationship Id="rId27" Type="http://schemas.openxmlformats.org/officeDocument/2006/relationships/hyperlink" Target="http://www.delwp.vic.gov.au" TargetMode="Externa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 full measure DEPI .dotx</Template>
  <TotalTime>0</TotalTime>
  <Pages>5</Pages>
  <Words>1810</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2016-02-10T03:23:00Z</dcterms:created>
  <dcterms:modified xsi:type="dcterms:W3CDTF">2016-02-17T00:32:00Z</dcterms:modified>
</cp:coreProperties>
</file>