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240"/>
        <w:tblW w:w="9904" w:type="dxa"/>
        <w:tblLook w:val="01E0" w:firstRow="1" w:lastRow="1" w:firstColumn="1" w:lastColumn="1" w:noHBand="0" w:noVBand="0"/>
      </w:tblPr>
      <w:tblGrid>
        <w:gridCol w:w="9904"/>
      </w:tblGrid>
      <w:tr w:rsidR="00AA7FC7" w:rsidRPr="00BA2608" w:rsidTr="0013604A">
        <w:trPr>
          <w:trHeight w:hRule="exact" w:val="1989"/>
        </w:trPr>
        <w:tc>
          <w:tcPr>
            <w:tcW w:w="9904" w:type="dxa"/>
            <w:shd w:val="clear" w:color="auto" w:fill="auto"/>
          </w:tcPr>
          <w:p w:rsidR="0013604A" w:rsidRDefault="00AA7FC7" w:rsidP="00EF3FEC">
            <w:pPr>
              <w:pStyle w:val="CertHBWhite"/>
              <w:spacing w:line="240" w:lineRule="auto"/>
              <w:rPr>
                <w:sz w:val="52"/>
                <w:szCs w:val="52"/>
              </w:rPr>
            </w:pPr>
            <w:r w:rsidRPr="00BA2608">
              <w:rPr>
                <w:sz w:val="52"/>
                <w:szCs w:val="52"/>
              </w:rPr>
              <w:t>Forest Audit Program</w:t>
            </w:r>
            <w:r w:rsidR="00663E83">
              <w:rPr>
                <w:sz w:val="52"/>
                <w:szCs w:val="52"/>
              </w:rPr>
              <w:t xml:space="preserve"> 2016/17</w:t>
            </w:r>
          </w:p>
          <w:p w:rsidR="0013604A" w:rsidRPr="0013604A" w:rsidRDefault="0013604A" w:rsidP="0013604A"/>
          <w:p w:rsidR="0013604A" w:rsidRPr="0013604A" w:rsidRDefault="0013604A" w:rsidP="0013604A">
            <w:bookmarkStart w:id="0" w:name="Here"/>
            <w:bookmarkEnd w:id="0"/>
            <w:r w:rsidRPr="00BA2608">
              <w:rPr>
                <w:noProof/>
                <w:sz w:val="52"/>
                <w:szCs w:val="52"/>
                <w:lang w:eastAsia="en-AU"/>
              </w:rPr>
              <mc:AlternateContent>
                <mc:Choice Requires="wps">
                  <w:drawing>
                    <wp:anchor distT="0" distB="0" distL="114300" distR="114300" simplePos="0" relativeHeight="251659264" behindDoc="0" locked="0" layoutInCell="1" allowOverlap="1" wp14:anchorId="0F63A1AA" wp14:editId="7C3DBD0A">
                      <wp:simplePos x="0" y="0"/>
                      <wp:positionH relativeFrom="column">
                        <wp:posOffset>-53340</wp:posOffset>
                      </wp:positionH>
                      <wp:positionV relativeFrom="paragraph">
                        <wp:posOffset>81280</wp:posOffset>
                      </wp:positionV>
                      <wp:extent cx="5588000" cy="3746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FC7" w:rsidRPr="0013604A" w:rsidRDefault="00CC3255" w:rsidP="00AA7FC7">
                                  <w:pPr>
                                    <w:rPr>
                                      <w:rFonts w:asciiTheme="minorHAnsi" w:hAnsiTheme="minorHAnsi" w:cstheme="minorHAnsi"/>
                                      <w:color w:val="FFFFFF"/>
                                      <w:sz w:val="36"/>
                                      <w:szCs w:val="40"/>
                                    </w:rPr>
                                  </w:pPr>
                                  <w:r>
                                    <w:rPr>
                                      <w:rFonts w:asciiTheme="minorHAnsi" w:hAnsiTheme="minorHAnsi" w:cstheme="minorHAnsi"/>
                                      <w:color w:val="FFFFFF"/>
                                      <w:sz w:val="36"/>
                                      <w:szCs w:val="40"/>
                                    </w:rPr>
                                    <w:t>Environment</w:t>
                                  </w:r>
                                  <w:r w:rsidR="000E7063">
                                    <w:rPr>
                                      <w:rFonts w:asciiTheme="minorHAnsi" w:hAnsiTheme="minorHAnsi" w:cstheme="minorHAnsi"/>
                                      <w:color w:val="FFFFFF"/>
                                      <w:sz w:val="36"/>
                                      <w:szCs w:val="40"/>
                                    </w:rPr>
                                    <w:t>al</w:t>
                                  </w:r>
                                  <w:r>
                                    <w:rPr>
                                      <w:rFonts w:asciiTheme="minorHAnsi" w:hAnsiTheme="minorHAnsi" w:cstheme="minorHAnsi"/>
                                      <w:color w:val="FFFFFF"/>
                                      <w:sz w:val="36"/>
                                      <w:szCs w:val="40"/>
                                    </w:rPr>
                                    <w:t xml:space="preserve"> Compliance </w:t>
                                  </w:r>
                                  <w:r w:rsidRPr="0013604A">
                                    <w:rPr>
                                      <w:rFonts w:asciiTheme="minorHAnsi" w:hAnsiTheme="minorHAnsi" w:cstheme="minorHAnsi"/>
                                      <w:color w:val="FFFFFF"/>
                                      <w:sz w:val="36"/>
                                      <w:szCs w:val="40"/>
                                    </w:rPr>
                                    <w:t>Response</w:t>
                                  </w:r>
                                  <w:r w:rsidR="00AA7FC7" w:rsidRPr="0013604A">
                                    <w:rPr>
                                      <w:rFonts w:asciiTheme="minorHAnsi" w:hAnsiTheme="minorHAnsi" w:cstheme="minorHAnsi"/>
                                      <w:color w:val="FFFFFF"/>
                                      <w:sz w:val="36"/>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A1AA" id="_x0000_t202" coordsize="21600,21600" o:spt="202" path="m,l,21600r21600,l21600,xe">
                      <v:stroke joinstyle="miter"/>
                      <v:path gradientshapeok="t" o:connecttype="rect"/>
                    </v:shapetype>
                    <v:shape id="Text Box 2" o:spid="_x0000_s1026" type="#_x0000_t202" style="position:absolute;margin-left:-4.2pt;margin-top:6.4pt;width:440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cv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kFjv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" filled="f" stroked="f">
                      <v:textbox>
                        <w:txbxContent>
                          <w:p w:rsidR="00AA7FC7" w:rsidRPr="0013604A" w:rsidRDefault="00CC3255" w:rsidP="00AA7FC7">
                            <w:pPr>
                              <w:rPr>
                                <w:rFonts w:asciiTheme="minorHAnsi" w:hAnsiTheme="minorHAnsi" w:cstheme="minorHAnsi"/>
                                <w:color w:val="FFFFFF"/>
                                <w:sz w:val="36"/>
                                <w:szCs w:val="40"/>
                              </w:rPr>
                            </w:pPr>
                            <w:r>
                              <w:rPr>
                                <w:rFonts w:asciiTheme="minorHAnsi" w:hAnsiTheme="minorHAnsi" w:cstheme="minorHAnsi"/>
                                <w:color w:val="FFFFFF"/>
                                <w:sz w:val="36"/>
                                <w:szCs w:val="40"/>
                              </w:rPr>
                              <w:t>Environment</w:t>
                            </w:r>
                            <w:r w:rsidR="000E7063">
                              <w:rPr>
                                <w:rFonts w:asciiTheme="minorHAnsi" w:hAnsiTheme="minorHAnsi" w:cstheme="minorHAnsi"/>
                                <w:color w:val="FFFFFF"/>
                                <w:sz w:val="36"/>
                                <w:szCs w:val="40"/>
                              </w:rPr>
                              <w:t>al</w:t>
                            </w:r>
                            <w:r>
                              <w:rPr>
                                <w:rFonts w:asciiTheme="minorHAnsi" w:hAnsiTheme="minorHAnsi" w:cstheme="minorHAnsi"/>
                                <w:color w:val="FFFFFF"/>
                                <w:sz w:val="36"/>
                                <w:szCs w:val="40"/>
                              </w:rPr>
                              <w:t xml:space="preserve"> Compliance </w:t>
                            </w:r>
                            <w:r w:rsidRPr="0013604A">
                              <w:rPr>
                                <w:rFonts w:asciiTheme="minorHAnsi" w:hAnsiTheme="minorHAnsi" w:cstheme="minorHAnsi"/>
                                <w:color w:val="FFFFFF"/>
                                <w:sz w:val="36"/>
                                <w:szCs w:val="40"/>
                              </w:rPr>
                              <w:t>Response</w:t>
                            </w:r>
                            <w:r w:rsidR="00AA7FC7" w:rsidRPr="0013604A">
                              <w:rPr>
                                <w:rFonts w:asciiTheme="minorHAnsi" w:hAnsiTheme="minorHAnsi" w:cstheme="minorHAnsi"/>
                                <w:color w:val="FFFFFF"/>
                                <w:sz w:val="36"/>
                                <w:szCs w:val="40"/>
                              </w:rPr>
                              <w:t xml:space="preserve"> </w:t>
                            </w:r>
                          </w:p>
                        </w:txbxContent>
                      </v:textbox>
                    </v:shape>
                  </w:pict>
                </mc:Fallback>
              </mc:AlternateContent>
            </w:r>
          </w:p>
          <w:p w:rsidR="0013604A" w:rsidRPr="0013604A" w:rsidRDefault="0013604A" w:rsidP="0013604A"/>
          <w:p w:rsidR="0013604A" w:rsidRPr="0013604A" w:rsidRDefault="0013604A" w:rsidP="0013604A"/>
          <w:p w:rsidR="00AA7FC7" w:rsidRPr="0013604A" w:rsidRDefault="00AA7FC7" w:rsidP="0013604A"/>
        </w:tc>
      </w:tr>
    </w:tbl>
    <w:p w:rsidR="0013604A" w:rsidRDefault="0013604A" w:rsidP="0013604A">
      <w:pPr>
        <w:pStyle w:val="Body"/>
        <w:spacing w:after="0" w:line="240" w:lineRule="auto"/>
        <w:ind w:right="141"/>
        <w:jc w:val="both"/>
      </w:pPr>
    </w:p>
    <w:p w:rsidR="00170A32" w:rsidRDefault="00CE1F71" w:rsidP="005C6BAC">
      <w:pPr>
        <w:pStyle w:val="Body"/>
        <w:spacing w:after="0" w:line="240" w:lineRule="auto"/>
        <w:ind w:left="-426" w:right="141"/>
      </w:pPr>
      <w:r>
        <w:t>Each year</w:t>
      </w:r>
      <w:r w:rsidR="00CC3255">
        <w:t>, t</w:t>
      </w:r>
      <w:r w:rsidR="00811715">
        <w:t xml:space="preserve">he Department of Environment, Land, Water and Planning (DELWP) </w:t>
      </w:r>
      <w:r w:rsidR="00FD22DC">
        <w:t>commissions an</w:t>
      </w:r>
      <w:r w:rsidR="00811715">
        <w:t xml:space="preserve"> </w:t>
      </w:r>
      <w:r w:rsidR="00AF7F90">
        <w:t xml:space="preserve">independent </w:t>
      </w:r>
      <w:r w:rsidR="000E7063">
        <w:t xml:space="preserve">environmental </w:t>
      </w:r>
      <w:r w:rsidR="003F0CD9">
        <w:t>audit</w:t>
      </w:r>
      <w:r w:rsidR="00811715">
        <w:t xml:space="preserve"> </w:t>
      </w:r>
      <w:r w:rsidR="00973FB2">
        <w:t>to assess</w:t>
      </w:r>
      <w:r w:rsidR="000350C3">
        <w:t xml:space="preserve"> compliance of</w:t>
      </w:r>
      <w:r w:rsidR="00811715">
        <w:t xml:space="preserve"> VicForests</w:t>
      </w:r>
      <w:r w:rsidR="00CC3255">
        <w:t>’</w:t>
      </w:r>
      <w:r w:rsidR="00811715">
        <w:t xml:space="preserve"> timber harvesting operations</w:t>
      </w:r>
      <w:r w:rsidR="00073F3B">
        <w:t xml:space="preserve"> </w:t>
      </w:r>
      <w:r w:rsidR="000350C3">
        <w:t>with</w:t>
      </w:r>
      <w:r w:rsidR="00073F3B">
        <w:t xml:space="preserve"> </w:t>
      </w:r>
      <w:r w:rsidR="00811715">
        <w:t xml:space="preserve">the </w:t>
      </w:r>
      <w:r w:rsidR="00811715" w:rsidRPr="00F10E2C">
        <w:rPr>
          <w:i/>
        </w:rPr>
        <w:t>Code of Practice for Timber Production 2014</w:t>
      </w:r>
      <w:r w:rsidR="00811715">
        <w:t xml:space="preserve"> (the Code) and </w:t>
      </w:r>
      <w:r w:rsidR="00E326E9">
        <w:t xml:space="preserve">the </w:t>
      </w:r>
      <w:r w:rsidR="00811715">
        <w:t xml:space="preserve">incorporated </w:t>
      </w:r>
      <w:r w:rsidR="00073F3B">
        <w:rPr>
          <w:i/>
        </w:rPr>
        <w:t>Management Standards and Procedures f</w:t>
      </w:r>
      <w:r w:rsidR="00811715" w:rsidRPr="00F10E2C">
        <w:rPr>
          <w:i/>
        </w:rPr>
        <w:t>o</w:t>
      </w:r>
      <w:r w:rsidR="00E326E9">
        <w:rPr>
          <w:i/>
        </w:rPr>
        <w:t>r Timber Harvesting Operations i</w:t>
      </w:r>
      <w:r w:rsidR="00811715" w:rsidRPr="00F10E2C">
        <w:rPr>
          <w:i/>
        </w:rPr>
        <w:t>n Victoria’s State Forests 2014</w:t>
      </w:r>
      <w:r w:rsidR="00E326E9">
        <w:t xml:space="preserve"> (MSPs). </w:t>
      </w:r>
      <w:r w:rsidR="00FD22DC">
        <w:t xml:space="preserve">In 2015, DELWP </w:t>
      </w:r>
      <w:r w:rsidR="000350C3">
        <w:t>introduced</w:t>
      </w:r>
      <w:r w:rsidR="00FD22DC">
        <w:t xml:space="preserve"> its</w:t>
      </w:r>
      <w:r w:rsidR="00E326E9">
        <w:t xml:space="preserve"> </w:t>
      </w:r>
      <w:r w:rsidR="00CC3255" w:rsidRPr="00CC3255">
        <w:rPr>
          <w:i/>
        </w:rPr>
        <w:t xml:space="preserve">Timber </w:t>
      </w:r>
      <w:r w:rsidR="00F91188">
        <w:rPr>
          <w:i/>
        </w:rPr>
        <w:t>H</w:t>
      </w:r>
      <w:r w:rsidR="00CC3255" w:rsidRPr="00CC3255">
        <w:rPr>
          <w:i/>
        </w:rPr>
        <w:t xml:space="preserve">arvesting on Public Land Risk-Based </w:t>
      </w:r>
      <w:r w:rsidR="00F91188">
        <w:rPr>
          <w:i/>
        </w:rPr>
        <w:t>C</w:t>
      </w:r>
      <w:r w:rsidR="00CC3255" w:rsidRPr="00CC3255">
        <w:rPr>
          <w:i/>
        </w:rPr>
        <w:t xml:space="preserve">ompliance </w:t>
      </w:r>
      <w:r w:rsidR="00F91188">
        <w:rPr>
          <w:i/>
        </w:rPr>
        <w:t>S</w:t>
      </w:r>
      <w:r w:rsidR="00CC3255" w:rsidRPr="00CC3255">
        <w:rPr>
          <w:i/>
        </w:rPr>
        <w:t>trategy (April 2015)</w:t>
      </w:r>
      <w:r w:rsidR="00F91188">
        <w:rPr>
          <w:i/>
        </w:rPr>
        <w:t xml:space="preserve"> </w:t>
      </w:r>
      <w:r w:rsidR="000350C3">
        <w:t>to</w:t>
      </w:r>
      <w:r w:rsidR="00FD22DC">
        <w:t xml:space="preserve"> </w:t>
      </w:r>
      <w:r w:rsidR="00BC02E8">
        <w:t>focus</w:t>
      </w:r>
      <w:r w:rsidR="00CC3255">
        <w:t xml:space="preserve"> DELWP’s </w:t>
      </w:r>
      <w:r w:rsidR="00E326E9">
        <w:t xml:space="preserve">environmental </w:t>
      </w:r>
      <w:r w:rsidR="00CC3255">
        <w:t xml:space="preserve">compliance </w:t>
      </w:r>
      <w:r w:rsidR="000350C3">
        <w:t xml:space="preserve">and enforcement </w:t>
      </w:r>
      <w:r w:rsidR="00BC02E8">
        <w:t>efforts o</w:t>
      </w:r>
      <w:r w:rsidR="000350C3">
        <w:t>n</w:t>
      </w:r>
      <w:r w:rsidR="00BC02E8">
        <w:t xml:space="preserve"> areas where </w:t>
      </w:r>
      <w:r w:rsidR="000350C3">
        <w:t xml:space="preserve">the relative </w:t>
      </w:r>
      <w:r w:rsidR="00BC02E8">
        <w:t xml:space="preserve">risks </w:t>
      </w:r>
      <w:r w:rsidR="000350C3">
        <w:t xml:space="preserve">to the environment associated with non-compliance </w:t>
      </w:r>
      <w:r w:rsidR="00BC02E8">
        <w:t>are greatest.</w:t>
      </w:r>
      <w:r w:rsidR="00E326E9" w:rsidRPr="00E326E9">
        <w:t xml:space="preserve"> </w:t>
      </w:r>
    </w:p>
    <w:p w:rsidR="00EF3FEC" w:rsidRDefault="00EF3FEC" w:rsidP="005C6BAC">
      <w:pPr>
        <w:pStyle w:val="Body"/>
        <w:spacing w:after="0" w:line="240" w:lineRule="auto"/>
        <w:ind w:left="-426" w:right="141"/>
      </w:pPr>
    </w:p>
    <w:p w:rsidR="00811715" w:rsidRDefault="00EC7F48" w:rsidP="005C6BAC">
      <w:pPr>
        <w:pStyle w:val="Body"/>
        <w:spacing w:after="0" w:line="240" w:lineRule="auto"/>
        <w:ind w:left="-426" w:right="142"/>
      </w:pPr>
      <w:r>
        <w:t>T</w:t>
      </w:r>
      <w:r w:rsidR="00295636">
        <w:t>hree</w:t>
      </w:r>
      <w:r w:rsidR="00170A32">
        <w:t xml:space="preserve"> </w:t>
      </w:r>
      <w:r w:rsidR="00BC02E8">
        <w:t xml:space="preserve">audit themes </w:t>
      </w:r>
      <w:r w:rsidR="00295636">
        <w:t xml:space="preserve">were </w:t>
      </w:r>
      <w:r w:rsidR="00846AC7">
        <w:t>identified</w:t>
      </w:r>
      <w:r w:rsidR="00BB1D8D">
        <w:t xml:space="preserve"> by DELWP</w:t>
      </w:r>
      <w:r w:rsidR="00811715">
        <w:t xml:space="preserve"> </w:t>
      </w:r>
      <w:r w:rsidR="00846AC7">
        <w:t xml:space="preserve">for </w:t>
      </w:r>
      <w:r w:rsidR="000350C3">
        <w:t xml:space="preserve">the </w:t>
      </w:r>
      <w:r w:rsidR="00663E83">
        <w:t>2016/17</w:t>
      </w:r>
      <w:r w:rsidR="00846AC7">
        <w:t xml:space="preserve"> </w:t>
      </w:r>
      <w:r w:rsidR="000350C3">
        <w:t>Forest Audit Program</w:t>
      </w:r>
      <w:r w:rsidR="00811715">
        <w:t xml:space="preserve">: </w:t>
      </w:r>
    </w:p>
    <w:p w:rsidR="00663E83" w:rsidRDefault="00663E83" w:rsidP="005C6BAC">
      <w:pPr>
        <w:pStyle w:val="Body"/>
        <w:numPr>
          <w:ilvl w:val="0"/>
          <w:numId w:val="34"/>
        </w:numPr>
        <w:spacing w:after="0" w:line="240" w:lineRule="auto"/>
        <w:ind w:right="142"/>
      </w:pPr>
      <w:r>
        <w:t>Protection of soil. Water and biodiversity values from adverse impacts associated with harvesting and in-coupe roading;</w:t>
      </w:r>
    </w:p>
    <w:p w:rsidR="00663E83" w:rsidRDefault="00663E83" w:rsidP="005C6BAC">
      <w:pPr>
        <w:pStyle w:val="Body"/>
        <w:numPr>
          <w:ilvl w:val="0"/>
          <w:numId w:val="34"/>
        </w:numPr>
        <w:spacing w:after="0" w:line="240" w:lineRule="auto"/>
        <w:ind w:right="142"/>
      </w:pPr>
      <w:r>
        <w:t xml:space="preserve">Design construction, maintenance and closure of in-coupe roads, and </w:t>
      </w:r>
    </w:p>
    <w:p w:rsidR="00663E83" w:rsidRDefault="00295636" w:rsidP="005C6BAC">
      <w:pPr>
        <w:pStyle w:val="Body"/>
        <w:numPr>
          <w:ilvl w:val="0"/>
          <w:numId w:val="34"/>
        </w:numPr>
        <w:spacing w:after="0" w:line="240" w:lineRule="auto"/>
        <w:ind w:right="142"/>
      </w:pPr>
      <w:r>
        <w:t>F</w:t>
      </w:r>
      <w:r w:rsidR="00663E83">
        <w:t>orest regeneration.</w:t>
      </w:r>
    </w:p>
    <w:p w:rsidR="00EF3FEC" w:rsidRDefault="00EF3FEC" w:rsidP="005C6BAC">
      <w:pPr>
        <w:pStyle w:val="Body"/>
        <w:spacing w:after="0" w:line="240" w:lineRule="auto"/>
        <w:ind w:left="414" w:right="141"/>
      </w:pPr>
    </w:p>
    <w:p w:rsidR="00B42E35" w:rsidRDefault="00663E83" w:rsidP="005C6BAC">
      <w:pPr>
        <w:pStyle w:val="Body"/>
        <w:spacing w:after="0" w:line="240" w:lineRule="auto"/>
        <w:ind w:left="-426" w:right="141"/>
      </w:pPr>
      <w:r>
        <w:t>An</w:t>
      </w:r>
      <w:r w:rsidR="00BC02E8">
        <w:t xml:space="preserve"> </w:t>
      </w:r>
      <w:r w:rsidR="00811715">
        <w:t>independent environmental audit w</w:t>
      </w:r>
      <w:r>
        <w:t xml:space="preserve">as </w:t>
      </w:r>
      <w:r w:rsidR="000350C3">
        <w:t>c</w:t>
      </w:r>
      <w:r w:rsidR="00AE012D">
        <w:t>ommissioned</w:t>
      </w:r>
      <w:r w:rsidR="00811715">
        <w:t xml:space="preserve"> </w:t>
      </w:r>
      <w:r w:rsidR="0037039B">
        <w:t>and i</w:t>
      </w:r>
      <w:r w:rsidR="002C7248">
        <w:t>dentified</w:t>
      </w:r>
      <w:r w:rsidR="005D7544">
        <w:t xml:space="preserve"> a</w:t>
      </w:r>
      <w:r w:rsidR="005C6BAC">
        <w:t xml:space="preserve"> </w:t>
      </w:r>
      <w:r w:rsidR="00AE012D">
        <w:t>number of</w:t>
      </w:r>
      <w:r w:rsidR="00BB1D18">
        <w:t xml:space="preserve"> issues and </w:t>
      </w:r>
      <w:r w:rsidR="00BC02E8">
        <w:t xml:space="preserve">made recommendations </w:t>
      </w:r>
      <w:r w:rsidR="000350C3">
        <w:t xml:space="preserve">for improvement </w:t>
      </w:r>
      <w:r w:rsidR="00BC02E8">
        <w:t xml:space="preserve">to both VicForests and DELWP. </w:t>
      </w:r>
      <w:r w:rsidR="00B42E35" w:rsidRPr="00376779">
        <w:t>The following s</w:t>
      </w:r>
      <w:r w:rsidR="00B42E35">
        <w:t xml:space="preserve">ix </w:t>
      </w:r>
      <w:r w:rsidR="00B42E35" w:rsidRPr="00376779">
        <w:t>recomme</w:t>
      </w:r>
      <w:r w:rsidR="00B42E35">
        <w:t xml:space="preserve">ndations were provided to DELWP. These highlight potential improvements to the regulatory framework for timber harvesting conducted on public land. DELWP’s response to these recommendations is provided below. </w:t>
      </w:r>
    </w:p>
    <w:p w:rsidR="005D7544" w:rsidRDefault="005D7544" w:rsidP="005C6BAC">
      <w:pPr>
        <w:pStyle w:val="Body"/>
        <w:spacing w:after="0" w:line="240" w:lineRule="auto"/>
        <w:ind w:left="-426" w:right="141"/>
      </w:pPr>
    </w:p>
    <w:p w:rsidR="004B4516" w:rsidRDefault="00E42047" w:rsidP="005C6BAC">
      <w:pPr>
        <w:pStyle w:val="Body"/>
        <w:spacing w:after="0" w:line="240" w:lineRule="auto"/>
        <w:ind w:left="-426" w:right="141"/>
        <w:rPr>
          <w:rFonts w:asciiTheme="minorHAnsi" w:hAnsiTheme="minorHAnsi" w:cs="Helv"/>
          <w:color w:val="000000"/>
          <w:szCs w:val="20"/>
          <w:lang w:eastAsia="en-AU"/>
        </w:rPr>
      </w:pPr>
      <w:r>
        <w:rPr>
          <w:rFonts w:asciiTheme="minorHAnsi" w:hAnsiTheme="minorHAnsi" w:cs="Helv"/>
          <w:color w:val="000000"/>
          <w:szCs w:val="20"/>
          <w:lang w:eastAsia="en-AU"/>
        </w:rPr>
        <w:t>For further inf</w:t>
      </w:r>
      <w:r w:rsidR="00A95E44">
        <w:rPr>
          <w:rFonts w:asciiTheme="minorHAnsi" w:hAnsiTheme="minorHAnsi" w:cs="Helv"/>
          <w:color w:val="000000"/>
          <w:szCs w:val="20"/>
          <w:lang w:eastAsia="en-AU"/>
        </w:rPr>
        <w:t xml:space="preserve">ormation please visit our </w:t>
      </w:r>
      <w:hyperlink r:id="rId8" w:history="1">
        <w:r w:rsidR="00D9369C">
          <w:rPr>
            <w:rStyle w:val="Hyperlink"/>
            <w:rFonts w:asciiTheme="minorHAnsi" w:hAnsiTheme="minorHAnsi" w:cs="Helv"/>
            <w:szCs w:val="20"/>
            <w:lang w:eastAsia="en-AU"/>
          </w:rPr>
          <w:t>DELWP website</w:t>
        </w:r>
      </w:hyperlink>
      <w:r w:rsidR="00D9369C">
        <w:rPr>
          <w:rFonts w:asciiTheme="minorHAnsi" w:hAnsiTheme="minorHAnsi" w:cs="Helv"/>
          <w:color w:val="000000"/>
          <w:szCs w:val="20"/>
          <w:lang w:eastAsia="en-AU"/>
        </w:rPr>
        <w:t xml:space="preserve"> </w:t>
      </w:r>
      <w:r>
        <w:rPr>
          <w:rFonts w:asciiTheme="minorHAnsi" w:hAnsiTheme="minorHAnsi" w:cs="Helv"/>
          <w:color w:val="000000"/>
          <w:szCs w:val="20"/>
          <w:lang w:eastAsia="en-AU"/>
        </w:rPr>
        <w:t xml:space="preserve">or contact </w:t>
      </w:r>
      <w:r w:rsidR="00D9369C">
        <w:rPr>
          <w:rFonts w:asciiTheme="minorHAnsi" w:hAnsiTheme="minorHAnsi" w:cs="Helv"/>
          <w:color w:val="000000"/>
          <w:szCs w:val="20"/>
          <w:lang w:eastAsia="en-AU"/>
        </w:rPr>
        <w:t>us</w:t>
      </w:r>
      <w:r>
        <w:rPr>
          <w:rFonts w:asciiTheme="minorHAnsi" w:hAnsiTheme="minorHAnsi" w:cs="Helv"/>
          <w:color w:val="000000"/>
          <w:szCs w:val="20"/>
          <w:lang w:eastAsia="en-AU"/>
        </w:rPr>
        <w:t xml:space="preserve"> on 136 186. </w:t>
      </w:r>
    </w:p>
    <w:p w:rsidR="004B4516" w:rsidRDefault="004B4516" w:rsidP="00AF7F90">
      <w:pPr>
        <w:rPr>
          <w:rFonts w:asciiTheme="minorHAnsi" w:hAnsiTheme="minorHAnsi" w:cs="Helv"/>
          <w:color w:val="000000"/>
          <w:szCs w:val="20"/>
          <w:lang w:eastAsia="en-AU"/>
        </w:rPr>
      </w:pPr>
    </w:p>
    <w:p w:rsidR="005D3205" w:rsidRDefault="005D3205" w:rsidP="00AF7F90">
      <w:pPr>
        <w:rPr>
          <w:rFonts w:asciiTheme="minorHAnsi" w:hAnsiTheme="minorHAnsi" w:cs="Helv"/>
          <w:color w:val="000000"/>
          <w:szCs w:val="20"/>
          <w:lang w:eastAsia="en-AU"/>
        </w:rPr>
      </w:pPr>
    </w:p>
    <w:tbl>
      <w:tblPr>
        <w:tblStyle w:val="TableGrid12"/>
        <w:tblW w:w="10444" w:type="dxa"/>
        <w:tblLook w:val="04A0" w:firstRow="1" w:lastRow="0" w:firstColumn="1" w:lastColumn="0" w:noHBand="0" w:noVBand="1"/>
      </w:tblPr>
      <w:tblGrid>
        <w:gridCol w:w="3403"/>
        <w:gridCol w:w="4111"/>
        <w:gridCol w:w="2930"/>
      </w:tblGrid>
      <w:tr w:rsidR="004B4516" w:rsidRPr="002A262A" w:rsidTr="0021597B">
        <w:trPr>
          <w:tblHeader/>
        </w:trPr>
        <w:tc>
          <w:tcPr>
            <w:tcW w:w="3403" w:type="dxa"/>
            <w:tcBorders>
              <w:bottom w:val="single" w:sz="4" w:space="0" w:color="auto"/>
            </w:tcBorders>
            <w:shd w:val="clear" w:color="auto" w:fill="D9D9D9" w:themeFill="background1" w:themeFillShade="D9"/>
          </w:tcPr>
          <w:p w:rsidR="004B4516" w:rsidRPr="002A262A" w:rsidRDefault="004B4516" w:rsidP="0021597B">
            <w:pPr>
              <w:ind w:right="34"/>
              <w:jc w:val="both"/>
              <w:rPr>
                <w:rFonts w:asciiTheme="minorHAnsi" w:hAnsiTheme="minorHAnsi" w:cs="Times New Roman"/>
                <w:b/>
                <w:sz w:val="24"/>
              </w:rPr>
            </w:pPr>
            <w:r w:rsidRPr="002A262A">
              <w:rPr>
                <w:rFonts w:asciiTheme="minorHAnsi" w:hAnsiTheme="minorHAnsi" w:cs="Times New Roman"/>
                <w:b/>
                <w:sz w:val="24"/>
              </w:rPr>
              <w:t xml:space="preserve">Auditor’s recommendation </w:t>
            </w:r>
          </w:p>
        </w:tc>
        <w:tc>
          <w:tcPr>
            <w:tcW w:w="4111" w:type="dxa"/>
            <w:tcBorders>
              <w:bottom w:val="single" w:sz="4" w:space="0" w:color="auto"/>
            </w:tcBorders>
            <w:shd w:val="clear" w:color="auto" w:fill="D9D9D9" w:themeFill="background1" w:themeFillShade="D9"/>
          </w:tcPr>
          <w:p w:rsidR="004B4516" w:rsidRPr="002A262A" w:rsidRDefault="004B4516" w:rsidP="0021597B">
            <w:pPr>
              <w:jc w:val="both"/>
              <w:rPr>
                <w:rFonts w:asciiTheme="minorHAnsi" w:hAnsiTheme="minorHAnsi"/>
                <w:b/>
                <w:sz w:val="24"/>
              </w:rPr>
            </w:pPr>
            <w:r w:rsidRPr="002A262A">
              <w:rPr>
                <w:rFonts w:asciiTheme="minorHAnsi" w:hAnsiTheme="minorHAnsi"/>
                <w:b/>
                <w:sz w:val="24"/>
              </w:rPr>
              <w:t>Rationale</w:t>
            </w:r>
          </w:p>
        </w:tc>
        <w:tc>
          <w:tcPr>
            <w:tcW w:w="2930" w:type="dxa"/>
            <w:tcBorders>
              <w:bottom w:val="single" w:sz="4" w:space="0" w:color="auto"/>
            </w:tcBorders>
            <w:shd w:val="clear" w:color="auto" w:fill="D9D9D9" w:themeFill="background1" w:themeFillShade="D9"/>
          </w:tcPr>
          <w:p w:rsidR="004B4516" w:rsidRPr="002A262A" w:rsidRDefault="004B4516" w:rsidP="0021597B">
            <w:pPr>
              <w:jc w:val="both"/>
              <w:rPr>
                <w:rFonts w:asciiTheme="minorHAnsi" w:hAnsiTheme="minorHAnsi" w:cs="Times New Roman"/>
                <w:b/>
                <w:sz w:val="24"/>
              </w:rPr>
            </w:pPr>
            <w:r w:rsidRPr="002A262A">
              <w:rPr>
                <w:rFonts w:asciiTheme="minorHAnsi" w:hAnsiTheme="minorHAnsi" w:cs="Times New Roman"/>
                <w:b/>
                <w:sz w:val="24"/>
              </w:rPr>
              <w:t xml:space="preserve">DELWP’s response </w:t>
            </w:r>
          </w:p>
        </w:tc>
      </w:tr>
      <w:tr w:rsidR="004B4516" w:rsidRPr="002A262A" w:rsidTr="0021597B">
        <w:tc>
          <w:tcPr>
            <w:tcW w:w="3403" w:type="dxa"/>
            <w:shd w:val="clear" w:color="auto" w:fill="auto"/>
          </w:tcPr>
          <w:p w:rsidR="00E9607E" w:rsidRPr="002A262A" w:rsidRDefault="004B4516" w:rsidP="0021597B">
            <w:pPr>
              <w:rPr>
                <w:rFonts w:asciiTheme="minorHAnsi" w:hAnsiTheme="minorHAnsi" w:cs="Times New Roman"/>
                <w:b/>
                <w:sz w:val="24"/>
              </w:rPr>
            </w:pPr>
            <w:r w:rsidRPr="002A262A">
              <w:rPr>
                <w:rFonts w:asciiTheme="minorHAnsi" w:hAnsiTheme="minorHAnsi" w:cs="Times New Roman"/>
                <w:b/>
                <w:sz w:val="24"/>
              </w:rPr>
              <w:t xml:space="preserve">D1: </w:t>
            </w:r>
            <w:r w:rsidR="00E9607E" w:rsidRPr="002A262A">
              <w:rPr>
                <w:rFonts w:asciiTheme="minorHAnsi" w:hAnsiTheme="minorHAnsi" w:cs="Times New Roman"/>
                <w:b/>
                <w:sz w:val="24"/>
              </w:rPr>
              <w:t xml:space="preserve">High priority </w:t>
            </w:r>
          </w:p>
          <w:p w:rsidR="004B4516" w:rsidRPr="002A262A" w:rsidRDefault="004B4516" w:rsidP="0021597B">
            <w:pPr>
              <w:rPr>
                <w:rFonts w:asciiTheme="minorHAnsi" w:hAnsiTheme="minorHAnsi" w:cs="Times New Roman"/>
                <w:sz w:val="24"/>
              </w:rPr>
            </w:pPr>
            <w:r w:rsidRPr="002A262A">
              <w:rPr>
                <w:rFonts w:asciiTheme="minorHAnsi" w:hAnsiTheme="minorHAnsi"/>
                <w:sz w:val="24"/>
              </w:rPr>
              <w:t>DELWP should revise the wording of the Management</w:t>
            </w:r>
            <w:r w:rsidR="00E9607E" w:rsidRPr="002A262A">
              <w:rPr>
                <w:rFonts w:asciiTheme="minorHAnsi" w:hAnsiTheme="minorHAnsi"/>
                <w:sz w:val="24"/>
              </w:rPr>
              <w:t xml:space="preserve"> </w:t>
            </w:r>
            <w:r w:rsidRPr="002A262A">
              <w:rPr>
                <w:rFonts w:asciiTheme="minorHAnsi" w:hAnsiTheme="minorHAnsi"/>
                <w:sz w:val="24"/>
              </w:rPr>
              <w:t xml:space="preserve">Standards and Procedures and their Planning Standards to provide consistent, unambiguous guidance on the requirements for providing unharvested buffers around rainforest stands equal to or larger than 0.4 ha in area, including those associated with rainforest sites of </w:t>
            </w:r>
            <w:r w:rsidR="005C6BAC" w:rsidRPr="002A262A">
              <w:rPr>
                <w:rFonts w:asciiTheme="minorHAnsi" w:hAnsiTheme="minorHAnsi"/>
                <w:sz w:val="24"/>
              </w:rPr>
              <w:t>s</w:t>
            </w:r>
            <w:r w:rsidRPr="002A262A">
              <w:rPr>
                <w:rFonts w:asciiTheme="minorHAnsi" w:hAnsiTheme="minorHAnsi"/>
                <w:sz w:val="24"/>
              </w:rPr>
              <w:t>ignificance.</w:t>
            </w:r>
          </w:p>
          <w:p w:rsidR="004B4516" w:rsidRPr="002A262A" w:rsidRDefault="004B4516" w:rsidP="0021597B">
            <w:pPr>
              <w:spacing w:before="60" w:after="60"/>
              <w:ind w:right="34"/>
              <w:jc w:val="both"/>
              <w:rPr>
                <w:rFonts w:asciiTheme="minorHAnsi" w:hAnsiTheme="minorHAnsi" w:cs="Times New Roman"/>
                <w:sz w:val="24"/>
              </w:rPr>
            </w:pPr>
          </w:p>
        </w:tc>
        <w:tc>
          <w:tcPr>
            <w:tcW w:w="4111" w:type="dxa"/>
          </w:tcPr>
          <w:p w:rsidR="004B4516" w:rsidRPr="002A262A" w:rsidRDefault="00AF7F90" w:rsidP="0021597B">
            <w:pPr>
              <w:ind w:left="34"/>
              <w:rPr>
                <w:rFonts w:asciiTheme="minorHAnsi" w:hAnsiTheme="minorHAnsi"/>
                <w:sz w:val="24"/>
              </w:rPr>
            </w:pPr>
            <w:r w:rsidRPr="002A262A">
              <w:rPr>
                <w:rFonts w:asciiTheme="minorHAnsi" w:hAnsiTheme="minorHAnsi"/>
                <w:sz w:val="24"/>
              </w:rPr>
              <w:t>Ambiguity in the wording of MSP 4.4.9 mean that it is</w:t>
            </w:r>
            <w:r w:rsidR="00934627" w:rsidRPr="002A262A">
              <w:rPr>
                <w:rFonts w:asciiTheme="minorHAnsi" w:hAnsiTheme="minorHAnsi"/>
                <w:sz w:val="24"/>
              </w:rPr>
              <w:t xml:space="preserve"> </w:t>
            </w:r>
            <w:r w:rsidRPr="002A262A">
              <w:rPr>
                <w:rFonts w:asciiTheme="minorHAnsi" w:hAnsiTheme="minorHAnsi"/>
                <w:sz w:val="24"/>
              </w:rPr>
              <w:t>unclear as to what, if any, buffers are required to be</w:t>
            </w:r>
            <w:r w:rsidR="00934627" w:rsidRPr="002A262A">
              <w:rPr>
                <w:rFonts w:asciiTheme="minorHAnsi" w:hAnsiTheme="minorHAnsi"/>
                <w:sz w:val="24"/>
              </w:rPr>
              <w:t xml:space="preserve"> </w:t>
            </w:r>
            <w:r w:rsidRPr="002A262A">
              <w:rPr>
                <w:rFonts w:asciiTheme="minorHAnsi" w:hAnsiTheme="minorHAnsi"/>
                <w:sz w:val="24"/>
              </w:rPr>
              <w:t>provided for rainforest stands ≥0.4 ha within Central</w:t>
            </w:r>
            <w:r w:rsidR="00E9607E" w:rsidRPr="002A262A">
              <w:rPr>
                <w:rFonts w:asciiTheme="minorHAnsi" w:hAnsiTheme="minorHAnsi"/>
                <w:sz w:val="24"/>
              </w:rPr>
              <w:t xml:space="preserve"> </w:t>
            </w:r>
            <w:r w:rsidRPr="002A262A">
              <w:rPr>
                <w:rFonts w:asciiTheme="minorHAnsi" w:hAnsiTheme="minorHAnsi"/>
                <w:sz w:val="24"/>
              </w:rPr>
              <w:t>Highlands FMA.</w:t>
            </w:r>
          </w:p>
        </w:tc>
        <w:tc>
          <w:tcPr>
            <w:tcW w:w="2930" w:type="dxa"/>
            <w:shd w:val="clear" w:color="auto" w:fill="auto"/>
          </w:tcPr>
          <w:p w:rsidR="004B4516" w:rsidRPr="002A262A" w:rsidRDefault="00EC7F48" w:rsidP="0021597B">
            <w:pPr>
              <w:spacing w:before="60" w:after="60"/>
              <w:ind w:left="34"/>
              <w:rPr>
                <w:rFonts w:asciiTheme="minorHAnsi" w:hAnsiTheme="minorHAnsi" w:cs="Times New Roman"/>
                <w:sz w:val="24"/>
              </w:rPr>
            </w:pPr>
            <w:r w:rsidRPr="002A262A">
              <w:rPr>
                <w:rFonts w:asciiTheme="minorHAnsi" w:hAnsiTheme="minorHAnsi" w:cs="Times New Roman"/>
                <w:sz w:val="24"/>
              </w:rPr>
              <w:t xml:space="preserve">DELWP </w:t>
            </w:r>
            <w:r w:rsidR="005D3205" w:rsidRPr="002A262A">
              <w:rPr>
                <w:rFonts w:asciiTheme="minorHAnsi" w:hAnsiTheme="minorHAnsi" w:cs="Times New Roman"/>
                <w:sz w:val="24"/>
              </w:rPr>
              <w:t>acknowledges</w:t>
            </w:r>
            <w:r w:rsidRPr="002A262A">
              <w:rPr>
                <w:rFonts w:asciiTheme="minorHAnsi" w:hAnsiTheme="minorHAnsi" w:cs="Times New Roman"/>
                <w:sz w:val="24"/>
              </w:rPr>
              <w:t xml:space="preserve"> th</w:t>
            </w:r>
            <w:r w:rsidR="00BC1E23" w:rsidRPr="002A262A">
              <w:rPr>
                <w:rFonts w:asciiTheme="minorHAnsi" w:hAnsiTheme="minorHAnsi" w:cs="Times New Roman"/>
                <w:sz w:val="24"/>
              </w:rPr>
              <w:t xml:space="preserve">e need to </w:t>
            </w:r>
            <w:r w:rsidR="00375FF3" w:rsidRPr="002A262A">
              <w:rPr>
                <w:rFonts w:asciiTheme="minorHAnsi" w:hAnsiTheme="minorHAnsi" w:cs="Times New Roman"/>
                <w:sz w:val="24"/>
              </w:rPr>
              <w:t>for a thorough review of the Code</w:t>
            </w:r>
            <w:r w:rsidRPr="002A262A">
              <w:rPr>
                <w:rFonts w:asciiTheme="minorHAnsi" w:hAnsiTheme="minorHAnsi" w:cs="Times New Roman"/>
                <w:sz w:val="24"/>
              </w:rPr>
              <w:t xml:space="preserve"> </w:t>
            </w:r>
            <w:r w:rsidR="005D3205" w:rsidRPr="002A262A">
              <w:rPr>
                <w:rFonts w:asciiTheme="minorHAnsi" w:hAnsiTheme="minorHAnsi" w:cs="Times New Roman"/>
                <w:sz w:val="24"/>
              </w:rPr>
              <w:t xml:space="preserve">to clarify intent, reduce ambiguity and provide a more objective basis </w:t>
            </w:r>
            <w:r w:rsidR="00375FF3" w:rsidRPr="002A262A">
              <w:rPr>
                <w:rFonts w:asciiTheme="minorHAnsi" w:hAnsiTheme="minorHAnsi" w:cs="Times New Roman"/>
                <w:sz w:val="24"/>
              </w:rPr>
              <w:t>for the audit.</w:t>
            </w:r>
          </w:p>
          <w:p w:rsidR="005D3205" w:rsidRPr="002A262A" w:rsidRDefault="005D3205" w:rsidP="0021597B">
            <w:pPr>
              <w:spacing w:before="60" w:after="60"/>
              <w:ind w:left="34"/>
              <w:rPr>
                <w:rFonts w:asciiTheme="minorHAnsi" w:hAnsiTheme="minorHAnsi" w:cs="Times New Roman"/>
                <w:sz w:val="24"/>
              </w:rPr>
            </w:pPr>
          </w:p>
          <w:p w:rsidR="005D3205" w:rsidRPr="002A262A" w:rsidRDefault="005D3205" w:rsidP="0021597B">
            <w:pPr>
              <w:spacing w:before="60" w:after="60"/>
              <w:ind w:left="34"/>
              <w:rPr>
                <w:rFonts w:asciiTheme="minorHAnsi" w:hAnsiTheme="minorHAnsi" w:cs="Times New Roman"/>
                <w:sz w:val="24"/>
              </w:rPr>
            </w:pPr>
            <w:r w:rsidRPr="002A262A">
              <w:rPr>
                <w:rFonts w:asciiTheme="minorHAnsi" w:hAnsiTheme="minorHAnsi" w:cs="Times New Roman"/>
                <w:sz w:val="24"/>
              </w:rPr>
              <w:t>DE</w:t>
            </w:r>
            <w:r w:rsidR="005C6BAC" w:rsidRPr="002A262A">
              <w:rPr>
                <w:rFonts w:asciiTheme="minorHAnsi" w:hAnsiTheme="minorHAnsi" w:cs="Times New Roman"/>
                <w:sz w:val="24"/>
              </w:rPr>
              <w:t>LW</w:t>
            </w:r>
            <w:r w:rsidRPr="002A262A">
              <w:rPr>
                <w:rFonts w:asciiTheme="minorHAnsi" w:hAnsiTheme="minorHAnsi" w:cs="Times New Roman"/>
                <w:sz w:val="24"/>
              </w:rPr>
              <w:t xml:space="preserve">P will be </w:t>
            </w:r>
            <w:r w:rsidR="005C6BAC" w:rsidRPr="002A262A">
              <w:rPr>
                <w:rFonts w:asciiTheme="minorHAnsi" w:hAnsiTheme="minorHAnsi" w:cs="Times New Roman"/>
                <w:sz w:val="24"/>
              </w:rPr>
              <w:t>work with VicForests to develop an agreed</w:t>
            </w:r>
            <w:r w:rsidR="00375FF3" w:rsidRPr="002A262A">
              <w:rPr>
                <w:rFonts w:asciiTheme="minorHAnsi" w:hAnsiTheme="minorHAnsi" w:cs="Times New Roman"/>
                <w:sz w:val="24"/>
              </w:rPr>
              <w:t xml:space="preserve"> rationale and</w:t>
            </w:r>
            <w:r w:rsidR="005C6BAC" w:rsidRPr="002A262A">
              <w:rPr>
                <w:rFonts w:asciiTheme="minorHAnsi" w:hAnsiTheme="minorHAnsi" w:cs="Times New Roman"/>
                <w:sz w:val="24"/>
              </w:rPr>
              <w:t xml:space="preserve"> interpretation of this clause</w:t>
            </w:r>
            <w:r w:rsidR="00375FF3" w:rsidRPr="002A262A">
              <w:rPr>
                <w:rFonts w:asciiTheme="minorHAnsi" w:hAnsiTheme="minorHAnsi" w:cs="Times New Roman"/>
                <w:sz w:val="24"/>
              </w:rPr>
              <w:t xml:space="preserve"> specific clause</w:t>
            </w:r>
            <w:r w:rsidR="00704469" w:rsidRPr="002A262A">
              <w:rPr>
                <w:rFonts w:asciiTheme="minorHAnsi" w:hAnsiTheme="minorHAnsi" w:cs="Times New Roman"/>
                <w:sz w:val="24"/>
              </w:rPr>
              <w:t>.</w:t>
            </w:r>
          </w:p>
        </w:tc>
      </w:tr>
      <w:tr w:rsidR="004B4516" w:rsidRPr="002A262A" w:rsidTr="0021597B">
        <w:tc>
          <w:tcPr>
            <w:tcW w:w="3403" w:type="dxa"/>
            <w:shd w:val="clear" w:color="auto" w:fill="auto"/>
          </w:tcPr>
          <w:p w:rsidR="00E9607E" w:rsidRPr="002A262A" w:rsidRDefault="004B4516" w:rsidP="0021597B">
            <w:pPr>
              <w:rPr>
                <w:rFonts w:asciiTheme="minorHAnsi" w:hAnsiTheme="minorHAnsi" w:cs="Times New Roman"/>
                <w:b/>
                <w:sz w:val="24"/>
              </w:rPr>
            </w:pPr>
            <w:r w:rsidRPr="002A262A">
              <w:rPr>
                <w:rFonts w:asciiTheme="minorHAnsi" w:hAnsiTheme="minorHAnsi"/>
                <w:b/>
                <w:sz w:val="24"/>
              </w:rPr>
              <w:t>D3:</w:t>
            </w:r>
            <w:r w:rsidRPr="002A262A">
              <w:rPr>
                <w:rFonts w:asciiTheme="minorHAnsi" w:hAnsiTheme="minorHAnsi"/>
                <w:sz w:val="24"/>
              </w:rPr>
              <w:t xml:space="preserve"> </w:t>
            </w:r>
            <w:r w:rsidR="00E9607E" w:rsidRPr="002A262A">
              <w:rPr>
                <w:rFonts w:asciiTheme="minorHAnsi" w:hAnsiTheme="minorHAnsi" w:cs="Times New Roman"/>
                <w:b/>
                <w:sz w:val="24"/>
              </w:rPr>
              <w:t xml:space="preserve">High priority </w:t>
            </w:r>
          </w:p>
          <w:p w:rsidR="004B4516" w:rsidRPr="002A262A" w:rsidRDefault="004B4516" w:rsidP="0021597B">
            <w:pPr>
              <w:rPr>
                <w:rFonts w:asciiTheme="minorHAnsi" w:hAnsiTheme="minorHAnsi"/>
                <w:b/>
                <w:sz w:val="24"/>
              </w:rPr>
            </w:pPr>
            <w:r w:rsidRPr="002A262A">
              <w:rPr>
                <w:rFonts w:asciiTheme="minorHAnsi" w:hAnsiTheme="minorHAnsi"/>
                <w:sz w:val="24"/>
              </w:rPr>
              <w:t>DELWP should develop a process for reviewing and acting on</w:t>
            </w:r>
            <w:r w:rsidR="005C6BAC" w:rsidRPr="002A262A">
              <w:rPr>
                <w:rFonts w:asciiTheme="minorHAnsi" w:hAnsiTheme="minorHAnsi"/>
                <w:sz w:val="24"/>
              </w:rPr>
              <w:t xml:space="preserve"> </w:t>
            </w:r>
            <w:r w:rsidRPr="002A262A">
              <w:rPr>
                <w:rFonts w:asciiTheme="minorHAnsi" w:hAnsiTheme="minorHAnsi"/>
                <w:sz w:val="24"/>
              </w:rPr>
              <w:t>key findings and recommendations from each years’ forest audit</w:t>
            </w:r>
            <w:r w:rsidR="005C6BAC" w:rsidRPr="002A262A">
              <w:rPr>
                <w:rFonts w:asciiTheme="minorHAnsi" w:hAnsiTheme="minorHAnsi"/>
                <w:sz w:val="24"/>
              </w:rPr>
              <w:t xml:space="preserve"> </w:t>
            </w:r>
            <w:r w:rsidRPr="002A262A">
              <w:rPr>
                <w:rFonts w:asciiTheme="minorHAnsi" w:hAnsiTheme="minorHAnsi"/>
                <w:sz w:val="24"/>
              </w:rPr>
              <w:t>program.</w:t>
            </w:r>
          </w:p>
        </w:tc>
        <w:tc>
          <w:tcPr>
            <w:tcW w:w="4111" w:type="dxa"/>
          </w:tcPr>
          <w:p w:rsidR="00E9607E" w:rsidRPr="002A262A" w:rsidRDefault="00E9607E" w:rsidP="0021597B">
            <w:pPr>
              <w:rPr>
                <w:rFonts w:asciiTheme="minorHAnsi" w:hAnsiTheme="minorHAnsi" w:cs="Helv"/>
                <w:color w:val="000000"/>
                <w:sz w:val="24"/>
                <w:lang w:eastAsia="en-AU"/>
              </w:rPr>
            </w:pPr>
            <w:r w:rsidRPr="002A262A">
              <w:rPr>
                <w:rFonts w:asciiTheme="minorHAnsi" w:hAnsiTheme="minorHAnsi" w:cs="Helv"/>
                <w:color w:val="000000"/>
                <w:sz w:val="24"/>
                <w:lang w:eastAsia="en-AU"/>
              </w:rPr>
              <w:t>The FAP is a potentially important process in achieving continuous improvement in timber harvesting activities in</w:t>
            </w:r>
          </w:p>
          <w:p w:rsidR="00E9607E" w:rsidRPr="002A262A" w:rsidRDefault="00E9607E" w:rsidP="0021597B">
            <w:pPr>
              <w:rPr>
                <w:rFonts w:asciiTheme="minorHAnsi" w:hAnsiTheme="minorHAnsi" w:cs="Helv"/>
                <w:color w:val="000000"/>
                <w:sz w:val="24"/>
                <w:lang w:eastAsia="en-AU"/>
              </w:rPr>
            </w:pPr>
            <w:r w:rsidRPr="002A262A">
              <w:rPr>
                <w:rFonts w:asciiTheme="minorHAnsi" w:hAnsiTheme="minorHAnsi" w:cs="Helv"/>
                <w:color w:val="000000"/>
                <w:sz w:val="24"/>
                <w:lang w:eastAsia="en-AU"/>
              </w:rPr>
              <w:t>State forests. The lack of a formal process for responding</w:t>
            </w:r>
            <w:r w:rsidR="005C6BAC"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 xml:space="preserve">and acting upon </w:t>
            </w:r>
            <w:r w:rsidRPr="002A262A">
              <w:rPr>
                <w:rFonts w:asciiTheme="minorHAnsi" w:hAnsiTheme="minorHAnsi" w:cs="Helv"/>
                <w:color w:val="000000"/>
                <w:sz w:val="24"/>
                <w:lang w:eastAsia="en-AU"/>
              </w:rPr>
              <w:lastRenderedPageBreak/>
              <w:t xml:space="preserve">findings and </w:t>
            </w:r>
            <w:r w:rsidR="005C6BAC" w:rsidRPr="002A262A">
              <w:rPr>
                <w:rFonts w:asciiTheme="minorHAnsi" w:hAnsiTheme="minorHAnsi" w:cs="Helv"/>
                <w:color w:val="000000"/>
                <w:sz w:val="24"/>
                <w:lang w:eastAsia="en-AU"/>
              </w:rPr>
              <w:t>re</w:t>
            </w:r>
            <w:r w:rsidRPr="002A262A">
              <w:rPr>
                <w:rFonts w:asciiTheme="minorHAnsi" w:hAnsiTheme="minorHAnsi" w:cs="Helv"/>
                <w:color w:val="000000"/>
                <w:sz w:val="24"/>
                <w:lang w:eastAsia="en-AU"/>
              </w:rPr>
              <w:t xml:space="preserve">commendations </w:t>
            </w:r>
            <w:r w:rsidR="005C6BAC" w:rsidRPr="002A262A">
              <w:rPr>
                <w:rFonts w:asciiTheme="minorHAnsi" w:hAnsiTheme="minorHAnsi" w:cs="Helv"/>
                <w:color w:val="000000"/>
                <w:sz w:val="24"/>
                <w:lang w:eastAsia="en-AU"/>
              </w:rPr>
              <w:t>d</w:t>
            </w:r>
            <w:r w:rsidRPr="002A262A">
              <w:rPr>
                <w:rFonts w:asciiTheme="minorHAnsi" w:hAnsiTheme="minorHAnsi" w:cs="Helv"/>
                <w:color w:val="000000"/>
                <w:sz w:val="24"/>
                <w:lang w:eastAsia="en-AU"/>
              </w:rPr>
              <w:t>iminishes</w:t>
            </w:r>
          </w:p>
          <w:p w:rsidR="00E9607E" w:rsidRPr="002A262A" w:rsidRDefault="00E9607E" w:rsidP="0021597B">
            <w:pPr>
              <w:rPr>
                <w:rFonts w:asciiTheme="minorHAnsi" w:hAnsiTheme="minorHAnsi" w:cs="Helv"/>
                <w:color w:val="000000"/>
                <w:sz w:val="24"/>
                <w:lang w:eastAsia="en-AU"/>
              </w:rPr>
            </w:pPr>
            <w:r w:rsidRPr="002A262A">
              <w:rPr>
                <w:rFonts w:asciiTheme="minorHAnsi" w:hAnsiTheme="minorHAnsi" w:cs="Helv"/>
                <w:color w:val="000000"/>
                <w:sz w:val="24"/>
                <w:lang w:eastAsia="en-AU"/>
              </w:rPr>
              <w:t>its value.</w:t>
            </w:r>
          </w:p>
          <w:p w:rsidR="004B4516" w:rsidRPr="002A262A" w:rsidRDefault="004B4516" w:rsidP="0021597B">
            <w:pPr>
              <w:spacing w:before="60" w:after="60"/>
              <w:ind w:left="34"/>
              <w:jc w:val="both"/>
              <w:rPr>
                <w:rFonts w:asciiTheme="minorHAnsi" w:hAnsiTheme="minorHAnsi"/>
                <w:sz w:val="24"/>
              </w:rPr>
            </w:pPr>
          </w:p>
        </w:tc>
        <w:tc>
          <w:tcPr>
            <w:tcW w:w="2930" w:type="dxa"/>
            <w:shd w:val="clear" w:color="auto" w:fill="auto"/>
          </w:tcPr>
          <w:p w:rsidR="004B4516" w:rsidRPr="002A262A" w:rsidRDefault="005C6BAC" w:rsidP="0021597B">
            <w:pPr>
              <w:spacing w:before="60" w:after="60"/>
              <w:ind w:left="34"/>
              <w:rPr>
                <w:sz w:val="24"/>
              </w:rPr>
            </w:pPr>
            <w:r w:rsidRPr="002A262A">
              <w:rPr>
                <w:sz w:val="24"/>
              </w:rPr>
              <w:lastRenderedPageBreak/>
              <w:t xml:space="preserve">DELWP has met with VicForests to address past audit recommendations and develop an agreed process for monitoring and reporting on the </w:t>
            </w:r>
            <w:r w:rsidRPr="002A262A">
              <w:rPr>
                <w:sz w:val="24"/>
              </w:rPr>
              <w:lastRenderedPageBreak/>
              <w:t>implementations of future audits recommendations.</w:t>
            </w:r>
          </w:p>
          <w:p w:rsidR="00375FF3" w:rsidRPr="002A262A" w:rsidRDefault="00375FF3" w:rsidP="0021597B">
            <w:pPr>
              <w:spacing w:before="60" w:after="60"/>
              <w:ind w:left="34"/>
              <w:rPr>
                <w:sz w:val="24"/>
              </w:rPr>
            </w:pPr>
          </w:p>
          <w:p w:rsidR="00375FF3" w:rsidRPr="002A262A" w:rsidRDefault="00375FF3" w:rsidP="0021597B">
            <w:pPr>
              <w:spacing w:before="60" w:after="60"/>
              <w:ind w:left="34"/>
              <w:rPr>
                <w:rFonts w:asciiTheme="minorHAnsi" w:hAnsiTheme="minorHAnsi"/>
                <w:sz w:val="24"/>
              </w:rPr>
            </w:pPr>
            <w:r w:rsidRPr="002A262A">
              <w:rPr>
                <w:sz w:val="24"/>
              </w:rPr>
              <w:t>DELWP will continue meet with VicForests on a regular basis to address issues and shar</w:t>
            </w:r>
            <w:r w:rsidR="004131EF" w:rsidRPr="002A262A">
              <w:rPr>
                <w:sz w:val="24"/>
              </w:rPr>
              <w:t>e information regarding the F</w:t>
            </w:r>
            <w:r w:rsidRPr="002A262A">
              <w:rPr>
                <w:sz w:val="24"/>
              </w:rPr>
              <w:t xml:space="preserve">orest Audit Program. </w:t>
            </w:r>
          </w:p>
        </w:tc>
      </w:tr>
      <w:tr w:rsidR="004B4516" w:rsidRPr="002A262A" w:rsidTr="0098721B">
        <w:trPr>
          <w:trHeight w:val="5858"/>
        </w:trPr>
        <w:tc>
          <w:tcPr>
            <w:tcW w:w="3403" w:type="dxa"/>
          </w:tcPr>
          <w:p w:rsidR="00E9607E" w:rsidRPr="002A262A" w:rsidRDefault="004B4516" w:rsidP="0021597B">
            <w:pPr>
              <w:rPr>
                <w:rFonts w:asciiTheme="minorHAnsi" w:hAnsiTheme="minorHAnsi"/>
                <w:sz w:val="24"/>
              </w:rPr>
            </w:pPr>
            <w:r w:rsidRPr="002A262A">
              <w:rPr>
                <w:rFonts w:asciiTheme="minorHAnsi" w:hAnsiTheme="minorHAnsi"/>
                <w:b/>
                <w:sz w:val="24"/>
              </w:rPr>
              <w:lastRenderedPageBreak/>
              <w:t>D2:</w:t>
            </w:r>
            <w:r w:rsidRPr="002A262A">
              <w:rPr>
                <w:rFonts w:asciiTheme="minorHAnsi" w:hAnsiTheme="minorHAnsi"/>
                <w:sz w:val="24"/>
              </w:rPr>
              <w:t xml:space="preserve"> </w:t>
            </w:r>
            <w:r w:rsidR="00E9607E" w:rsidRPr="002A262A">
              <w:rPr>
                <w:rFonts w:asciiTheme="minorHAnsi" w:hAnsiTheme="minorHAnsi"/>
                <w:b/>
                <w:sz w:val="24"/>
              </w:rPr>
              <w:t>Moderate priority</w:t>
            </w:r>
          </w:p>
          <w:p w:rsidR="004B4516" w:rsidRPr="002A262A" w:rsidRDefault="004B4516" w:rsidP="0021597B">
            <w:pPr>
              <w:rPr>
                <w:rFonts w:asciiTheme="minorHAnsi" w:hAnsiTheme="minorHAnsi"/>
                <w:sz w:val="24"/>
              </w:rPr>
            </w:pPr>
            <w:r w:rsidRPr="002A262A">
              <w:rPr>
                <w:rFonts w:asciiTheme="minorHAnsi" w:hAnsiTheme="minorHAnsi"/>
                <w:sz w:val="24"/>
              </w:rPr>
              <w:t>DELWP should develop a science basis for prescribing the</w:t>
            </w:r>
            <w:r w:rsidR="00AF7F90" w:rsidRPr="002A262A">
              <w:rPr>
                <w:rFonts w:asciiTheme="minorHAnsi" w:hAnsiTheme="minorHAnsi"/>
                <w:sz w:val="24"/>
              </w:rPr>
              <w:t xml:space="preserve"> </w:t>
            </w:r>
            <w:r w:rsidRPr="002A262A">
              <w:rPr>
                <w:rFonts w:asciiTheme="minorHAnsi" w:hAnsiTheme="minorHAnsi"/>
                <w:sz w:val="24"/>
              </w:rPr>
              <w:t>provision of fish passage at waterway crossings and implement this</w:t>
            </w:r>
            <w:r w:rsidR="00AF7F90" w:rsidRPr="002A262A">
              <w:rPr>
                <w:rFonts w:asciiTheme="minorHAnsi" w:hAnsiTheme="minorHAnsi"/>
                <w:sz w:val="24"/>
              </w:rPr>
              <w:t xml:space="preserve"> </w:t>
            </w:r>
            <w:r w:rsidRPr="002A262A">
              <w:rPr>
                <w:rFonts w:asciiTheme="minorHAnsi" w:hAnsiTheme="minorHAnsi"/>
                <w:sz w:val="24"/>
              </w:rPr>
              <w:t>in the next revision of the regulatory framework for timber</w:t>
            </w:r>
          </w:p>
          <w:p w:rsidR="004B4516" w:rsidRPr="002A262A" w:rsidRDefault="004B4516" w:rsidP="0021597B">
            <w:pPr>
              <w:rPr>
                <w:rFonts w:asciiTheme="minorHAnsi" w:hAnsiTheme="minorHAnsi"/>
                <w:sz w:val="24"/>
              </w:rPr>
            </w:pPr>
            <w:r w:rsidRPr="002A262A">
              <w:rPr>
                <w:rFonts w:asciiTheme="minorHAnsi" w:hAnsiTheme="minorHAnsi"/>
                <w:sz w:val="24"/>
              </w:rPr>
              <w:t>harvesting.</w:t>
            </w:r>
          </w:p>
        </w:tc>
        <w:tc>
          <w:tcPr>
            <w:tcW w:w="4111" w:type="dxa"/>
          </w:tcPr>
          <w:p w:rsidR="00AF7F90" w:rsidRPr="002A262A" w:rsidRDefault="00AF7F90" w:rsidP="0021597B">
            <w:pPr>
              <w:rPr>
                <w:rFonts w:asciiTheme="minorHAnsi" w:hAnsiTheme="minorHAnsi" w:cs="Helv"/>
                <w:color w:val="000000"/>
                <w:sz w:val="24"/>
                <w:lang w:eastAsia="en-AU"/>
              </w:rPr>
            </w:pPr>
            <w:r w:rsidRPr="002A262A">
              <w:rPr>
                <w:rFonts w:asciiTheme="minorHAnsi" w:hAnsiTheme="minorHAnsi" w:cs="Helv"/>
                <w:color w:val="000000"/>
                <w:sz w:val="24"/>
                <w:lang w:eastAsia="en-AU"/>
              </w:rPr>
              <w:t>The current requirement to provide a fish ladder for</w:t>
            </w:r>
            <w:r w:rsidR="005C6BAC"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permanent stream culverts &gt; 750 mm in diameter does not</w:t>
            </w:r>
            <w:r w:rsidR="005D3205"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appear to account for the requirement to provide fish</w:t>
            </w:r>
            <w:r w:rsidR="005D3205"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 xml:space="preserve">passage for smaller culverts nor the </w:t>
            </w:r>
            <w:r w:rsidR="005D3205" w:rsidRPr="002A262A">
              <w:rPr>
                <w:rFonts w:asciiTheme="minorHAnsi" w:hAnsiTheme="minorHAnsi" w:cs="Helv"/>
                <w:color w:val="000000"/>
                <w:sz w:val="24"/>
                <w:lang w:eastAsia="en-AU"/>
              </w:rPr>
              <w:t>o</w:t>
            </w:r>
            <w:r w:rsidRPr="002A262A">
              <w:rPr>
                <w:rFonts w:asciiTheme="minorHAnsi" w:hAnsiTheme="minorHAnsi" w:cs="Helv"/>
                <w:color w:val="000000"/>
                <w:sz w:val="24"/>
                <w:lang w:eastAsia="en-AU"/>
              </w:rPr>
              <w:t>pportunities to provide</w:t>
            </w:r>
            <w:r w:rsidR="005C6BAC"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fish passage without a fish ladder in larger culverts. The</w:t>
            </w:r>
            <w:r w:rsidR="005C6BAC"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science basis of this compliance element should be</w:t>
            </w:r>
            <w:r w:rsidR="00E9607E"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reviewed to ensure that fish ladders or other fish passage</w:t>
            </w:r>
            <w:r w:rsidR="00E9607E"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devises are used in appropriate circumstances.</w:t>
            </w:r>
          </w:p>
          <w:p w:rsidR="004B4516" w:rsidRPr="002A262A" w:rsidRDefault="004B4516" w:rsidP="0021597B">
            <w:pPr>
              <w:spacing w:before="60" w:after="60"/>
              <w:ind w:left="34"/>
              <w:rPr>
                <w:rFonts w:asciiTheme="minorHAnsi" w:hAnsiTheme="minorHAnsi"/>
                <w:sz w:val="24"/>
              </w:rPr>
            </w:pPr>
          </w:p>
        </w:tc>
        <w:tc>
          <w:tcPr>
            <w:tcW w:w="2930" w:type="dxa"/>
            <w:shd w:val="clear" w:color="auto" w:fill="auto"/>
          </w:tcPr>
          <w:p w:rsidR="004B4516" w:rsidRPr="002A262A" w:rsidRDefault="00375FF3" w:rsidP="0021597B">
            <w:pPr>
              <w:spacing w:before="60" w:after="60"/>
              <w:ind w:left="34"/>
              <w:rPr>
                <w:rFonts w:asciiTheme="minorHAnsi" w:hAnsiTheme="minorHAnsi"/>
                <w:sz w:val="24"/>
              </w:rPr>
            </w:pPr>
            <w:r w:rsidRPr="002A262A">
              <w:rPr>
                <w:rFonts w:asciiTheme="minorHAnsi" w:hAnsiTheme="minorHAnsi"/>
                <w:sz w:val="24"/>
              </w:rPr>
              <w:t>DELWP</w:t>
            </w:r>
            <w:r w:rsidR="00704469" w:rsidRPr="002A262A">
              <w:rPr>
                <w:rFonts w:asciiTheme="minorHAnsi" w:hAnsiTheme="minorHAnsi"/>
                <w:sz w:val="24"/>
              </w:rPr>
              <w:t xml:space="preserve"> acknowledges that the current prescriptions</w:t>
            </w:r>
            <w:r w:rsidR="004131EF" w:rsidRPr="002A262A">
              <w:rPr>
                <w:rFonts w:asciiTheme="minorHAnsi" w:hAnsiTheme="minorHAnsi"/>
                <w:sz w:val="24"/>
              </w:rPr>
              <w:t xml:space="preserve"> may</w:t>
            </w:r>
            <w:r w:rsidR="00704469" w:rsidRPr="002A262A">
              <w:rPr>
                <w:rFonts w:asciiTheme="minorHAnsi" w:hAnsiTheme="minorHAnsi"/>
                <w:sz w:val="24"/>
              </w:rPr>
              <w:t xml:space="preserve"> </w:t>
            </w:r>
            <w:r w:rsidR="00F537E6" w:rsidRPr="002A262A">
              <w:rPr>
                <w:rFonts w:asciiTheme="minorHAnsi" w:hAnsiTheme="minorHAnsi"/>
                <w:sz w:val="24"/>
              </w:rPr>
              <w:t xml:space="preserve">potentially </w:t>
            </w:r>
            <w:r w:rsidR="00704469" w:rsidRPr="002A262A">
              <w:rPr>
                <w:rFonts w:asciiTheme="minorHAnsi" w:hAnsiTheme="minorHAnsi"/>
                <w:sz w:val="24"/>
              </w:rPr>
              <w:t>lead to unwarranted non-compliances with the regulatory framework that pose no material risk to the environment</w:t>
            </w:r>
            <w:r w:rsidR="00170453" w:rsidRPr="002A262A">
              <w:rPr>
                <w:rFonts w:asciiTheme="minorHAnsi" w:hAnsiTheme="minorHAnsi"/>
                <w:sz w:val="24"/>
              </w:rPr>
              <w:t xml:space="preserve">, </w:t>
            </w:r>
            <w:r w:rsidR="00F537E6" w:rsidRPr="002A262A">
              <w:rPr>
                <w:rFonts w:asciiTheme="minorHAnsi" w:hAnsiTheme="minorHAnsi"/>
                <w:sz w:val="24"/>
              </w:rPr>
              <w:t>but</w:t>
            </w:r>
            <w:r w:rsidR="00170453" w:rsidRPr="002A262A">
              <w:rPr>
                <w:rFonts w:asciiTheme="minorHAnsi" w:hAnsiTheme="minorHAnsi"/>
                <w:sz w:val="24"/>
              </w:rPr>
              <w:t xml:space="preserve"> fail to meet</w:t>
            </w:r>
            <w:r w:rsidR="004131EF" w:rsidRPr="002A262A">
              <w:rPr>
                <w:rFonts w:asciiTheme="minorHAnsi" w:hAnsiTheme="minorHAnsi"/>
                <w:sz w:val="24"/>
              </w:rPr>
              <w:t xml:space="preserve"> the specific requirements of aquatic species.</w:t>
            </w:r>
          </w:p>
          <w:p w:rsidR="004131EF" w:rsidRPr="002A262A" w:rsidRDefault="004131EF" w:rsidP="0021597B">
            <w:pPr>
              <w:spacing w:before="60" w:after="60"/>
              <w:ind w:left="34"/>
              <w:rPr>
                <w:rFonts w:asciiTheme="minorHAnsi" w:hAnsiTheme="minorHAnsi"/>
                <w:sz w:val="24"/>
              </w:rPr>
            </w:pPr>
          </w:p>
          <w:p w:rsidR="00170453" w:rsidRPr="002A262A" w:rsidRDefault="004131EF" w:rsidP="0098721B">
            <w:pPr>
              <w:spacing w:before="60" w:after="60"/>
              <w:ind w:left="34"/>
              <w:rPr>
                <w:rFonts w:asciiTheme="minorHAnsi" w:hAnsiTheme="minorHAnsi"/>
                <w:sz w:val="24"/>
              </w:rPr>
            </w:pPr>
            <w:r w:rsidRPr="002A262A">
              <w:rPr>
                <w:rFonts w:asciiTheme="minorHAnsi" w:hAnsiTheme="minorHAnsi"/>
                <w:sz w:val="24"/>
              </w:rPr>
              <w:t>DELWP is</w:t>
            </w:r>
            <w:r w:rsidR="002A262A">
              <w:rPr>
                <w:rFonts w:asciiTheme="minorHAnsi" w:hAnsiTheme="minorHAnsi"/>
                <w:sz w:val="24"/>
              </w:rPr>
              <w:t xml:space="preserve"> considering commissioning</w:t>
            </w:r>
            <w:r w:rsidR="00F537E6" w:rsidRPr="002A262A">
              <w:rPr>
                <w:rFonts w:asciiTheme="minorHAnsi" w:hAnsiTheme="minorHAnsi"/>
                <w:sz w:val="24"/>
              </w:rPr>
              <w:t xml:space="preserve"> a special project to review the regulatory requirements to provide for fi</w:t>
            </w:r>
            <w:r w:rsidR="0098721B" w:rsidRPr="002A262A">
              <w:rPr>
                <w:rFonts w:asciiTheme="minorHAnsi" w:hAnsiTheme="minorHAnsi"/>
                <w:sz w:val="24"/>
              </w:rPr>
              <w:t>sh passage at waterwa</w:t>
            </w:r>
            <w:r w:rsidR="00F537E6" w:rsidRPr="002A262A">
              <w:rPr>
                <w:rFonts w:asciiTheme="minorHAnsi" w:hAnsiTheme="minorHAnsi"/>
                <w:sz w:val="24"/>
              </w:rPr>
              <w:t>y crossings.</w:t>
            </w:r>
          </w:p>
        </w:tc>
      </w:tr>
      <w:tr w:rsidR="004B4516" w:rsidRPr="002A262A" w:rsidTr="0021597B">
        <w:tc>
          <w:tcPr>
            <w:tcW w:w="3403" w:type="dxa"/>
          </w:tcPr>
          <w:p w:rsidR="00EC7F48" w:rsidRPr="002A262A" w:rsidRDefault="004B4516" w:rsidP="0021597B">
            <w:pPr>
              <w:rPr>
                <w:rFonts w:asciiTheme="minorHAnsi" w:hAnsiTheme="minorHAnsi"/>
                <w:sz w:val="24"/>
              </w:rPr>
            </w:pPr>
            <w:r w:rsidRPr="002A262A">
              <w:rPr>
                <w:rFonts w:asciiTheme="minorHAnsi" w:hAnsiTheme="minorHAnsi"/>
                <w:b/>
                <w:sz w:val="24"/>
              </w:rPr>
              <w:t>D4:</w:t>
            </w:r>
            <w:r w:rsidRPr="002A262A">
              <w:rPr>
                <w:rFonts w:asciiTheme="minorHAnsi" w:hAnsiTheme="minorHAnsi"/>
                <w:sz w:val="24"/>
              </w:rPr>
              <w:t xml:space="preserve"> </w:t>
            </w:r>
            <w:r w:rsidR="00EC7F48" w:rsidRPr="002A262A">
              <w:rPr>
                <w:rFonts w:asciiTheme="minorHAnsi" w:hAnsiTheme="minorHAnsi"/>
                <w:b/>
                <w:sz w:val="24"/>
              </w:rPr>
              <w:t>Moderate priority</w:t>
            </w:r>
          </w:p>
          <w:p w:rsidR="004B4516" w:rsidRPr="002A262A" w:rsidRDefault="004B4516" w:rsidP="0021597B">
            <w:pPr>
              <w:rPr>
                <w:rFonts w:asciiTheme="minorHAnsi" w:hAnsiTheme="minorHAnsi"/>
                <w:sz w:val="24"/>
              </w:rPr>
            </w:pPr>
            <w:r w:rsidRPr="002A262A">
              <w:rPr>
                <w:rFonts w:asciiTheme="minorHAnsi" w:hAnsiTheme="minorHAnsi"/>
                <w:sz w:val="24"/>
              </w:rPr>
              <w:t>DELWP should adopt the revised EIA tool developed for this</w:t>
            </w:r>
            <w:r w:rsidR="005C6BAC" w:rsidRPr="002A262A">
              <w:rPr>
                <w:rFonts w:asciiTheme="minorHAnsi" w:hAnsiTheme="minorHAnsi"/>
                <w:sz w:val="24"/>
              </w:rPr>
              <w:t xml:space="preserve"> </w:t>
            </w:r>
            <w:r w:rsidRPr="002A262A">
              <w:rPr>
                <w:rFonts w:asciiTheme="minorHAnsi" w:hAnsiTheme="minorHAnsi"/>
                <w:sz w:val="24"/>
              </w:rPr>
              <w:t>years’ audit program.</w:t>
            </w:r>
          </w:p>
        </w:tc>
        <w:tc>
          <w:tcPr>
            <w:tcW w:w="4111" w:type="dxa"/>
          </w:tcPr>
          <w:p w:rsidR="00E9607E" w:rsidRPr="002A262A" w:rsidRDefault="00E9607E" w:rsidP="0021597B">
            <w:pPr>
              <w:rPr>
                <w:rFonts w:asciiTheme="minorHAnsi" w:hAnsiTheme="minorHAnsi" w:cs="Helv"/>
                <w:color w:val="000000"/>
                <w:sz w:val="24"/>
                <w:lang w:eastAsia="en-AU"/>
              </w:rPr>
            </w:pPr>
            <w:r w:rsidRPr="002A262A">
              <w:rPr>
                <w:rFonts w:asciiTheme="minorHAnsi" w:hAnsiTheme="minorHAnsi" w:cs="Helv"/>
                <w:color w:val="000000"/>
                <w:sz w:val="24"/>
                <w:lang w:eastAsia="en-AU"/>
              </w:rPr>
              <w:t>The revised EIA tool allows more consistent and repeatable assessments of potential environmental impacts associated</w:t>
            </w:r>
            <w:r w:rsidR="005C6BAC"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with road drainage, waterway crossings and some incursions into unharvested buffer areas. It focusses on the</w:t>
            </w:r>
            <w:r w:rsidR="005C6BAC" w:rsidRPr="002A262A">
              <w:rPr>
                <w:rFonts w:asciiTheme="minorHAnsi" w:hAnsiTheme="minorHAnsi" w:cs="Helv"/>
                <w:color w:val="000000"/>
                <w:sz w:val="24"/>
                <w:lang w:eastAsia="en-AU"/>
              </w:rPr>
              <w:t xml:space="preserve"> </w:t>
            </w:r>
            <w:r w:rsidRPr="002A262A">
              <w:rPr>
                <w:rFonts w:asciiTheme="minorHAnsi" w:hAnsiTheme="minorHAnsi" w:cs="Helv"/>
                <w:color w:val="000000"/>
                <w:sz w:val="24"/>
                <w:lang w:eastAsia="en-AU"/>
              </w:rPr>
              <w:t>sensitivity of locations to environmental impacts, even if the actual impact is low.</w:t>
            </w:r>
          </w:p>
          <w:p w:rsidR="004B4516" w:rsidRPr="002A262A" w:rsidRDefault="004B4516" w:rsidP="0021597B">
            <w:pPr>
              <w:spacing w:before="60" w:after="60"/>
              <w:ind w:left="34"/>
              <w:jc w:val="both"/>
              <w:rPr>
                <w:rFonts w:asciiTheme="minorHAnsi" w:hAnsiTheme="minorHAnsi"/>
                <w:sz w:val="24"/>
              </w:rPr>
            </w:pPr>
          </w:p>
        </w:tc>
        <w:tc>
          <w:tcPr>
            <w:tcW w:w="2930" w:type="dxa"/>
            <w:shd w:val="clear" w:color="auto" w:fill="auto"/>
          </w:tcPr>
          <w:p w:rsidR="004B4516" w:rsidRPr="002A262A" w:rsidRDefault="00375FF3" w:rsidP="0021597B">
            <w:pPr>
              <w:spacing w:before="60" w:after="60"/>
              <w:ind w:left="34"/>
              <w:rPr>
                <w:rFonts w:asciiTheme="minorHAnsi" w:hAnsiTheme="minorHAnsi"/>
                <w:sz w:val="24"/>
              </w:rPr>
            </w:pPr>
            <w:r w:rsidRPr="002A262A">
              <w:rPr>
                <w:rFonts w:asciiTheme="minorHAnsi" w:hAnsiTheme="minorHAnsi"/>
                <w:sz w:val="24"/>
              </w:rPr>
              <w:t xml:space="preserve">DELWP agrees with </w:t>
            </w:r>
            <w:r w:rsidR="00757B13" w:rsidRPr="002A262A">
              <w:rPr>
                <w:rFonts w:asciiTheme="minorHAnsi" w:hAnsiTheme="minorHAnsi"/>
                <w:sz w:val="24"/>
              </w:rPr>
              <w:t>this recommendation</w:t>
            </w:r>
            <w:r w:rsidRPr="002A262A">
              <w:rPr>
                <w:rFonts w:asciiTheme="minorHAnsi" w:hAnsiTheme="minorHAnsi"/>
                <w:sz w:val="24"/>
              </w:rPr>
              <w:t xml:space="preserve"> and has adopted the revised EIA tool developed for the upcoming 2017/18 Forest Audit Program.</w:t>
            </w:r>
          </w:p>
        </w:tc>
      </w:tr>
      <w:tr w:rsidR="004B4516" w:rsidRPr="002A262A" w:rsidTr="0021597B">
        <w:tc>
          <w:tcPr>
            <w:tcW w:w="3403" w:type="dxa"/>
          </w:tcPr>
          <w:p w:rsidR="00EC7F48" w:rsidRPr="002A262A" w:rsidRDefault="004B4516" w:rsidP="0021597B">
            <w:pPr>
              <w:rPr>
                <w:rFonts w:asciiTheme="minorHAnsi" w:hAnsiTheme="minorHAnsi"/>
                <w:sz w:val="24"/>
              </w:rPr>
            </w:pPr>
            <w:r w:rsidRPr="002A262A">
              <w:rPr>
                <w:rFonts w:asciiTheme="minorHAnsi" w:hAnsiTheme="minorHAnsi"/>
                <w:b/>
                <w:sz w:val="24"/>
              </w:rPr>
              <w:t>D5:</w:t>
            </w:r>
            <w:r w:rsidRPr="002A262A">
              <w:rPr>
                <w:rFonts w:asciiTheme="minorHAnsi" w:hAnsiTheme="minorHAnsi"/>
                <w:sz w:val="24"/>
              </w:rPr>
              <w:t xml:space="preserve"> </w:t>
            </w:r>
            <w:r w:rsidR="00EC7F48" w:rsidRPr="002A262A">
              <w:rPr>
                <w:rFonts w:asciiTheme="minorHAnsi" w:hAnsiTheme="minorHAnsi"/>
                <w:b/>
                <w:sz w:val="24"/>
              </w:rPr>
              <w:t>Moderate priority</w:t>
            </w:r>
            <w:r w:rsidR="00EC7F48" w:rsidRPr="002A262A">
              <w:rPr>
                <w:rFonts w:asciiTheme="minorHAnsi" w:hAnsiTheme="minorHAnsi"/>
                <w:sz w:val="24"/>
              </w:rPr>
              <w:t xml:space="preserve"> </w:t>
            </w:r>
          </w:p>
          <w:p w:rsidR="004B4516" w:rsidRPr="002A262A" w:rsidRDefault="004B4516" w:rsidP="0021597B">
            <w:pPr>
              <w:rPr>
                <w:rFonts w:asciiTheme="minorHAnsi" w:hAnsiTheme="minorHAnsi"/>
                <w:sz w:val="24"/>
              </w:rPr>
            </w:pPr>
            <w:r w:rsidRPr="002A262A">
              <w:rPr>
                <w:rFonts w:asciiTheme="minorHAnsi" w:hAnsiTheme="minorHAnsi"/>
                <w:sz w:val="24"/>
              </w:rPr>
              <w:t>DELWP and VicForests should gather information on actual</w:t>
            </w:r>
            <w:r w:rsidR="005C6BAC" w:rsidRPr="002A262A">
              <w:rPr>
                <w:rFonts w:asciiTheme="minorHAnsi" w:hAnsiTheme="minorHAnsi"/>
                <w:sz w:val="24"/>
              </w:rPr>
              <w:t xml:space="preserve"> </w:t>
            </w:r>
            <w:r w:rsidRPr="002A262A">
              <w:rPr>
                <w:rFonts w:asciiTheme="minorHAnsi" w:hAnsiTheme="minorHAnsi"/>
                <w:sz w:val="24"/>
              </w:rPr>
              <w:t xml:space="preserve">coupe attributes to support audit coupe </w:t>
            </w:r>
            <w:r w:rsidR="005C6BAC" w:rsidRPr="002A262A">
              <w:rPr>
                <w:rFonts w:asciiTheme="minorHAnsi" w:hAnsiTheme="minorHAnsi"/>
                <w:sz w:val="24"/>
              </w:rPr>
              <w:t>s</w:t>
            </w:r>
            <w:r w:rsidRPr="002A262A">
              <w:rPr>
                <w:rFonts w:asciiTheme="minorHAnsi" w:hAnsiTheme="minorHAnsi"/>
                <w:sz w:val="24"/>
              </w:rPr>
              <w:t>election rather than</w:t>
            </w:r>
            <w:r w:rsidR="00A57DA1" w:rsidRPr="002A262A">
              <w:rPr>
                <w:rFonts w:asciiTheme="minorHAnsi" w:hAnsiTheme="minorHAnsi"/>
                <w:sz w:val="24"/>
              </w:rPr>
              <w:t xml:space="preserve"> </w:t>
            </w:r>
            <w:r w:rsidRPr="002A262A">
              <w:rPr>
                <w:rFonts w:asciiTheme="minorHAnsi" w:hAnsiTheme="minorHAnsi"/>
                <w:sz w:val="24"/>
              </w:rPr>
              <w:t>information from the coupe planning stage.</w:t>
            </w:r>
          </w:p>
        </w:tc>
        <w:tc>
          <w:tcPr>
            <w:tcW w:w="4111" w:type="dxa"/>
          </w:tcPr>
          <w:p w:rsidR="00E9607E" w:rsidRPr="002A262A" w:rsidRDefault="00E9607E" w:rsidP="0021597B">
            <w:pPr>
              <w:rPr>
                <w:rFonts w:asciiTheme="minorHAnsi" w:hAnsiTheme="minorHAnsi" w:cs="Helv"/>
                <w:color w:val="000000"/>
                <w:sz w:val="24"/>
                <w:lang w:eastAsia="en-AU"/>
              </w:rPr>
            </w:pPr>
            <w:r w:rsidRPr="002A262A">
              <w:rPr>
                <w:rFonts w:asciiTheme="minorHAnsi" w:hAnsiTheme="minorHAnsi" w:cs="Helv"/>
                <w:color w:val="000000"/>
                <w:sz w:val="24"/>
                <w:lang w:eastAsia="en-AU"/>
              </w:rPr>
              <w:t>Use of planning stage information means that audit targets may not have the values or risk factors for which they were selected. This potentially dilutes the value of the audit.</w:t>
            </w:r>
          </w:p>
          <w:p w:rsidR="004B4516" w:rsidRPr="002A262A" w:rsidRDefault="004B4516" w:rsidP="0021597B">
            <w:pPr>
              <w:spacing w:before="60" w:after="60"/>
              <w:ind w:left="34"/>
              <w:jc w:val="both"/>
              <w:rPr>
                <w:rFonts w:asciiTheme="minorHAnsi" w:hAnsiTheme="minorHAnsi"/>
                <w:sz w:val="24"/>
              </w:rPr>
            </w:pPr>
          </w:p>
        </w:tc>
        <w:tc>
          <w:tcPr>
            <w:tcW w:w="2930" w:type="dxa"/>
            <w:shd w:val="clear" w:color="auto" w:fill="auto"/>
          </w:tcPr>
          <w:p w:rsidR="004B4516" w:rsidRPr="002A262A" w:rsidRDefault="0021597B" w:rsidP="0021597B">
            <w:pPr>
              <w:spacing w:before="60" w:after="60"/>
              <w:ind w:left="34"/>
              <w:rPr>
                <w:rFonts w:asciiTheme="minorHAnsi" w:hAnsiTheme="minorHAnsi"/>
                <w:sz w:val="24"/>
              </w:rPr>
            </w:pPr>
            <w:r w:rsidRPr="002A262A">
              <w:rPr>
                <w:rFonts w:asciiTheme="minorHAnsi" w:hAnsiTheme="minorHAnsi"/>
                <w:sz w:val="24"/>
              </w:rPr>
              <w:t>DELWP disagrees with this recommendation.</w:t>
            </w:r>
          </w:p>
          <w:p w:rsidR="0021597B" w:rsidRPr="002A262A" w:rsidRDefault="0021597B" w:rsidP="0021597B">
            <w:pPr>
              <w:spacing w:before="60" w:after="60"/>
              <w:ind w:left="34"/>
              <w:rPr>
                <w:rFonts w:asciiTheme="minorHAnsi" w:hAnsiTheme="minorHAnsi"/>
                <w:sz w:val="24"/>
              </w:rPr>
            </w:pPr>
            <w:r w:rsidRPr="002A262A">
              <w:rPr>
                <w:rFonts w:asciiTheme="minorHAnsi" w:hAnsiTheme="minorHAnsi"/>
                <w:sz w:val="24"/>
              </w:rPr>
              <w:t>The presentation of VicForests</w:t>
            </w:r>
            <w:r w:rsidR="0098721B" w:rsidRPr="002A262A">
              <w:rPr>
                <w:rFonts w:asciiTheme="minorHAnsi" w:hAnsiTheme="minorHAnsi"/>
                <w:sz w:val="24"/>
              </w:rPr>
              <w:t xml:space="preserve"> coup</w:t>
            </w:r>
            <w:r w:rsidR="002A262A">
              <w:rPr>
                <w:rFonts w:asciiTheme="minorHAnsi" w:hAnsiTheme="minorHAnsi"/>
                <w:sz w:val="24"/>
              </w:rPr>
              <w:t>e</w:t>
            </w:r>
            <w:r w:rsidRPr="002A262A">
              <w:rPr>
                <w:rFonts w:asciiTheme="minorHAnsi" w:hAnsiTheme="minorHAnsi"/>
                <w:sz w:val="24"/>
              </w:rPr>
              <w:t xml:space="preserve"> data does not allow this type of enquiry to be easily made. Instead DELWP will work with </w:t>
            </w:r>
            <w:r w:rsidR="004131EF" w:rsidRPr="002A262A">
              <w:rPr>
                <w:rFonts w:asciiTheme="minorHAnsi" w:hAnsiTheme="minorHAnsi"/>
                <w:sz w:val="24"/>
              </w:rPr>
              <w:t xml:space="preserve">VicForests to </w:t>
            </w:r>
            <w:r w:rsidR="00F537E6" w:rsidRPr="002A262A">
              <w:rPr>
                <w:rFonts w:asciiTheme="minorHAnsi" w:hAnsiTheme="minorHAnsi"/>
                <w:sz w:val="24"/>
              </w:rPr>
              <w:t xml:space="preserve">identify </w:t>
            </w:r>
            <w:r w:rsidR="00F537E6" w:rsidRPr="002A262A">
              <w:rPr>
                <w:rFonts w:asciiTheme="minorHAnsi" w:hAnsiTheme="minorHAnsi"/>
                <w:sz w:val="24"/>
              </w:rPr>
              <w:lastRenderedPageBreak/>
              <w:t>a number of contingency coupes</w:t>
            </w:r>
            <w:r w:rsidR="004131EF" w:rsidRPr="002A262A">
              <w:rPr>
                <w:rFonts w:asciiTheme="minorHAnsi" w:hAnsiTheme="minorHAnsi"/>
                <w:sz w:val="24"/>
              </w:rPr>
              <w:t xml:space="preserve"> </w:t>
            </w:r>
            <w:r w:rsidR="00F537E6" w:rsidRPr="002A262A">
              <w:rPr>
                <w:rFonts w:asciiTheme="minorHAnsi" w:hAnsiTheme="minorHAnsi"/>
                <w:sz w:val="24"/>
              </w:rPr>
              <w:t xml:space="preserve">that may be considered following a more detailed interrogation of </w:t>
            </w:r>
            <w:r w:rsidR="004131EF" w:rsidRPr="002A262A">
              <w:rPr>
                <w:rFonts w:asciiTheme="minorHAnsi" w:hAnsiTheme="minorHAnsi"/>
                <w:sz w:val="24"/>
              </w:rPr>
              <w:t xml:space="preserve">the </w:t>
            </w:r>
            <w:r w:rsidR="00F537E6" w:rsidRPr="002A262A">
              <w:rPr>
                <w:rFonts w:asciiTheme="minorHAnsi" w:hAnsiTheme="minorHAnsi"/>
                <w:sz w:val="24"/>
              </w:rPr>
              <w:t xml:space="preserve">initial </w:t>
            </w:r>
            <w:r w:rsidR="004131EF" w:rsidRPr="002A262A">
              <w:rPr>
                <w:rFonts w:asciiTheme="minorHAnsi" w:hAnsiTheme="minorHAnsi"/>
                <w:sz w:val="24"/>
              </w:rPr>
              <w:t>randomised sampling of data.</w:t>
            </w:r>
          </w:p>
        </w:tc>
      </w:tr>
      <w:tr w:rsidR="004B4516" w:rsidRPr="002A262A" w:rsidTr="0021597B">
        <w:tc>
          <w:tcPr>
            <w:tcW w:w="3403" w:type="dxa"/>
          </w:tcPr>
          <w:p w:rsidR="00EC7F48" w:rsidRPr="002A262A" w:rsidRDefault="004B4516" w:rsidP="0021597B">
            <w:pPr>
              <w:rPr>
                <w:rFonts w:asciiTheme="minorHAnsi" w:hAnsiTheme="minorHAnsi"/>
                <w:sz w:val="24"/>
              </w:rPr>
            </w:pPr>
            <w:r w:rsidRPr="002A262A">
              <w:rPr>
                <w:rFonts w:asciiTheme="minorHAnsi" w:hAnsiTheme="minorHAnsi"/>
                <w:b/>
                <w:sz w:val="24"/>
              </w:rPr>
              <w:lastRenderedPageBreak/>
              <w:t>D6:</w:t>
            </w:r>
            <w:r w:rsidRPr="002A262A">
              <w:rPr>
                <w:rFonts w:asciiTheme="minorHAnsi" w:hAnsiTheme="minorHAnsi"/>
                <w:sz w:val="24"/>
              </w:rPr>
              <w:t xml:space="preserve"> </w:t>
            </w:r>
            <w:r w:rsidR="00EC7F48" w:rsidRPr="002A262A">
              <w:rPr>
                <w:rFonts w:asciiTheme="minorHAnsi" w:hAnsiTheme="minorHAnsi"/>
                <w:b/>
                <w:sz w:val="24"/>
              </w:rPr>
              <w:t>Moderate priority</w:t>
            </w:r>
            <w:r w:rsidR="00EC7F48" w:rsidRPr="002A262A">
              <w:rPr>
                <w:rFonts w:asciiTheme="minorHAnsi" w:hAnsiTheme="minorHAnsi"/>
                <w:sz w:val="24"/>
              </w:rPr>
              <w:t xml:space="preserve"> </w:t>
            </w:r>
          </w:p>
          <w:p w:rsidR="004B4516" w:rsidRPr="002A262A" w:rsidRDefault="004B4516" w:rsidP="0021597B">
            <w:pPr>
              <w:rPr>
                <w:rFonts w:asciiTheme="minorHAnsi" w:hAnsiTheme="minorHAnsi"/>
                <w:sz w:val="24"/>
              </w:rPr>
            </w:pPr>
            <w:r w:rsidRPr="002A262A">
              <w:rPr>
                <w:rFonts w:asciiTheme="minorHAnsi" w:hAnsiTheme="minorHAnsi"/>
                <w:sz w:val="24"/>
              </w:rPr>
              <w:t>DELWP should maintain a register of coupes included in the</w:t>
            </w:r>
            <w:r w:rsidR="0021597B" w:rsidRPr="002A262A">
              <w:rPr>
                <w:rFonts w:asciiTheme="minorHAnsi" w:hAnsiTheme="minorHAnsi"/>
                <w:sz w:val="24"/>
              </w:rPr>
              <w:t xml:space="preserve"> </w:t>
            </w:r>
            <w:r w:rsidRPr="002A262A">
              <w:rPr>
                <w:rFonts w:asciiTheme="minorHAnsi" w:hAnsiTheme="minorHAnsi"/>
                <w:sz w:val="24"/>
              </w:rPr>
              <w:t>FAP.</w:t>
            </w:r>
          </w:p>
        </w:tc>
        <w:tc>
          <w:tcPr>
            <w:tcW w:w="4111" w:type="dxa"/>
          </w:tcPr>
          <w:p w:rsidR="004B4516" w:rsidRPr="002A262A" w:rsidRDefault="00E9607E" w:rsidP="00A244FB">
            <w:pPr>
              <w:autoSpaceDE w:val="0"/>
              <w:autoSpaceDN w:val="0"/>
              <w:adjustRightInd w:val="0"/>
              <w:rPr>
                <w:rFonts w:asciiTheme="minorHAnsi" w:hAnsiTheme="minorHAnsi"/>
                <w:sz w:val="24"/>
              </w:rPr>
            </w:pPr>
            <w:r w:rsidRPr="002A262A">
              <w:rPr>
                <w:rFonts w:asciiTheme="minorHAnsi" w:hAnsiTheme="minorHAnsi" w:cs="Arial"/>
                <w:sz w:val="24"/>
                <w:lang w:eastAsia="en-AU"/>
              </w:rPr>
              <w:t>A register will help to avoid inadvertent re-auditing of coupes and also provide a basis for longitudinal studies assessing</w:t>
            </w:r>
            <w:r w:rsidR="00A244FB" w:rsidRPr="002A262A">
              <w:rPr>
                <w:rFonts w:asciiTheme="minorHAnsi" w:hAnsiTheme="minorHAnsi" w:cs="Arial"/>
                <w:sz w:val="24"/>
                <w:lang w:eastAsia="en-AU"/>
              </w:rPr>
              <w:t xml:space="preserve"> </w:t>
            </w:r>
            <w:r w:rsidRPr="002A262A">
              <w:rPr>
                <w:rFonts w:asciiTheme="minorHAnsi" w:hAnsiTheme="minorHAnsi" w:cs="Arial"/>
                <w:sz w:val="24"/>
                <w:lang w:eastAsia="en-AU"/>
              </w:rPr>
              <w:t>the environmental impacts of non-compliances with the</w:t>
            </w:r>
            <w:r w:rsidR="00A244FB" w:rsidRPr="002A262A">
              <w:rPr>
                <w:rFonts w:asciiTheme="minorHAnsi" w:hAnsiTheme="minorHAnsi" w:cs="Arial"/>
                <w:sz w:val="24"/>
                <w:lang w:eastAsia="en-AU"/>
              </w:rPr>
              <w:t xml:space="preserve"> </w:t>
            </w:r>
            <w:r w:rsidRPr="002A262A">
              <w:rPr>
                <w:rFonts w:asciiTheme="minorHAnsi" w:hAnsiTheme="minorHAnsi" w:cs="Arial"/>
                <w:sz w:val="24"/>
                <w:lang w:eastAsia="en-AU"/>
              </w:rPr>
              <w:t>regulatory framework.</w:t>
            </w:r>
          </w:p>
        </w:tc>
        <w:tc>
          <w:tcPr>
            <w:tcW w:w="2930" w:type="dxa"/>
            <w:shd w:val="clear" w:color="auto" w:fill="auto"/>
          </w:tcPr>
          <w:p w:rsidR="004B4516" w:rsidRPr="002A262A" w:rsidRDefault="00A244FB" w:rsidP="00F213EF">
            <w:pPr>
              <w:spacing w:before="60" w:after="60"/>
              <w:rPr>
                <w:rFonts w:asciiTheme="minorHAnsi" w:hAnsiTheme="minorHAnsi"/>
                <w:sz w:val="24"/>
              </w:rPr>
            </w:pPr>
            <w:r w:rsidRPr="002A262A">
              <w:rPr>
                <w:rFonts w:asciiTheme="minorHAnsi" w:hAnsiTheme="minorHAnsi"/>
                <w:sz w:val="24"/>
              </w:rPr>
              <w:t>DELWP agrees with this recommendation</w:t>
            </w:r>
            <w:r w:rsidR="00F213EF" w:rsidRPr="002A262A">
              <w:rPr>
                <w:rFonts w:asciiTheme="minorHAnsi" w:hAnsiTheme="minorHAnsi"/>
                <w:sz w:val="24"/>
              </w:rPr>
              <w:t xml:space="preserve"> and has </w:t>
            </w:r>
            <w:r w:rsidR="002A262A">
              <w:rPr>
                <w:rFonts w:asciiTheme="minorHAnsi" w:hAnsiTheme="minorHAnsi"/>
                <w:sz w:val="24"/>
              </w:rPr>
              <w:t>prepared</w:t>
            </w:r>
            <w:bookmarkStart w:id="1" w:name="_GoBack"/>
            <w:bookmarkEnd w:id="1"/>
            <w:r w:rsidR="00F213EF" w:rsidRPr="002A262A">
              <w:rPr>
                <w:rFonts w:asciiTheme="minorHAnsi" w:hAnsiTheme="minorHAnsi"/>
                <w:sz w:val="24"/>
              </w:rPr>
              <w:t xml:space="preserve"> a register of coupes for the past three years FAP as part of a move to systemically assessing and tracking trends and improvements.</w:t>
            </w:r>
          </w:p>
        </w:tc>
      </w:tr>
    </w:tbl>
    <w:p w:rsidR="00295636" w:rsidRPr="00424751" w:rsidRDefault="00295636" w:rsidP="00424751">
      <w:pPr>
        <w:rPr>
          <w:rFonts w:asciiTheme="minorHAnsi" w:hAnsiTheme="minorHAnsi" w:cs="Helv"/>
          <w:color w:val="000000"/>
          <w:szCs w:val="20"/>
          <w:lang w:eastAsia="en-AU"/>
        </w:rPr>
      </w:pPr>
    </w:p>
    <w:sectPr w:rsidR="00295636" w:rsidRPr="00424751" w:rsidSect="00EC7F48">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851" w:left="1134" w:header="284" w:footer="102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CDF" w:rsidRDefault="00942CDF">
      <w:r>
        <w:separator/>
      </w:r>
    </w:p>
  </w:endnote>
  <w:endnote w:type="continuationSeparator" w:id="0">
    <w:p w:rsidR="00942CDF" w:rsidRDefault="0094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6" w:rsidRDefault="00F53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110917"/>
      <w:docPartObj>
        <w:docPartGallery w:val="Page Numbers (Bottom of Page)"/>
        <w:docPartUnique/>
      </w:docPartObj>
    </w:sdtPr>
    <w:sdtEndPr>
      <w:rPr>
        <w:noProof/>
      </w:rPr>
    </w:sdtEndPr>
    <w:sdtContent>
      <w:p w:rsidR="006975FE" w:rsidRDefault="006975FE">
        <w:pPr>
          <w:pStyle w:val="Footer"/>
        </w:pPr>
        <w:r>
          <w:t xml:space="preserve">Page | </w:t>
        </w:r>
        <w:r>
          <w:fldChar w:fldCharType="begin"/>
        </w:r>
        <w:r>
          <w:instrText xml:space="preserve"> PAGE   \* MERGEFORMAT </w:instrText>
        </w:r>
        <w:r>
          <w:fldChar w:fldCharType="separate"/>
        </w:r>
        <w:r w:rsidR="002A262A">
          <w:rPr>
            <w:noProof/>
          </w:rPr>
          <w:t>3</w:t>
        </w:r>
        <w:r>
          <w:rPr>
            <w:noProof/>
          </w:rPr>
          <w:fldChar w:fldCharType="end"/>
        </w:r>
      </w:p>
    </w:sdtContent>
  </w:sdt>
  <w:p w:rsidR="003B43DE" w:rsidRPr="008E39E1" w:rsidRDefault="003B43DE" w:rsidP="008E39E1">
    <w:pPr>
      <w:autoSpaceDE w:val="0"/>
      <w:autoSpaceDN w:val="0"/>
      <w:adjustRightInd w:val="0"/>
      <w:spacing w:after="120"/>
      <w:rPr>
        <w:rFonts w:ascii="Arial" w:hAnsi="Arial" w:cs="Arial"/>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DE" w:rsidRDefault="002A262A" w:rsidP="00DD6AE3">
    <w:pPr>
      <w:pStyle w:val="Footer"/>
      <w:jc w:val="center"/>
    </w:pPr>
    <w:sdt>
      <w:sdtPr>
        <w:id w:val="647716264"/>
        <w:docPartObj>
          <w:docPartGallery w:val="Page Numbers (Top of Page)"/>
          <w:docPartUnique/>
        </w:docPartObj>
      </w:sdtPr>
      <w:sdtEndPr/>
      <w:sdtContent>
        <w:r w:rsidR="00DD6AE3" w:rsidRPr="00DD6AE3">
          <w:rPr>
            <w:noProof/>
            <w:sz w:val="20"/>
            <w:szCs w:val="20"/>
            <w:lang w:eastAsia="en-AU"/>
          </w:rPr>
          <w:drawing>
            <wp:anchor distT="0" distB="0" distL="114300" distR="114300" simplePos="0" relativeHeight="251658240" behindDoc="0" locked="0" layoutInCell="1" allowOverlap="1" wp14:anchorId="5E1FBC65" wp14:editId="028B641C">
              <wp:simplePos x="0" y="0"/>
              <wp:positionH relativeFrom="column">
                <wp:posOffset>4532630</wp:posOffset>
              </wp:positionH>
              <wp:positionV relativeFrom="paragraph">
                <wp:posOffset>3810</wp:posOffset>
              </wp:positionV>
              <wp:extent cx="1924050" cy="429260"/>
              <wp:effectExtent l="0" t="0" r="0" b="8890"/>
              <wp:wrapNone/>
              <wp:docPr id="182" name="Picture 182"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WP) Insignia PMS541 Right Alig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E3" w:rsidRPr="00DD6AE3">
          <w:rPr>
            <w:sz w:val="20"/>
            <w:szCs w:val="20"/>
          </w:rPr>
          <w:t xml:space="preserve">Page </w:t>
        </w:r>
        <w:r w:rsidR="00DD6AE3" w:rsidRPr="00DD6AE3">
          <w:rPr>
            <w:bCs/>
            <w:sz w:val="20"/>
            <w:szCs w:val="20"/>
          </w:rPr>
          <w:fldChar w:fldCharType="begin"/>
        </w:r>
        <w:r w:rsidR="00DD6AE3" w:rsidRPr="00DD6AE3">
          <w:rPr>
            <w:bCs/>
            <w:sz w:val="20"/>
            <w:szCs w:val="20"/>
          </w:rPr>
          <w:instrText xml:space="preserve"> PAGE </w:instrText>
        </w:r>
        <w:r w:rsidR="00DD6AE3" w:rsidRPr="00DD6AE3">
          <w:rPr>
            <w:bCs/>
            <w:sz w:val="20"/>
            <w:szCs w:val="20"/>
          </w:rPr>
          <w:fldChar w:fldCharType="separate"/>
        </w:r>
        <w:r>
          <w:rPr>
            <w:bCs/>
            <w:noProof/>
            <w:sz w:val="20"/>
            <w:szCs w:val="20"/>
          </w:rPr>
          <w:t>1</w:t>
        </w:r>
        <w:r w:rsidR="00DD6AE3" w:rsidRPr="00DD6AE3">
          <w:rPr>
            <w:bCs/>
            <w:sz w:val="20"/>
            <w:szCs w:val="20"/>
          </w:rPr>
          <w:fldChar w:fldCharType="end"/>
        </w:r>
        <w:r w:rsidR="00DD6AE3" w:rsidRPr="00DD6AE3">
          <w:rPr>
            <w:sz w:val="20"/>
            <w:szCs w:val="20"/>
          </w:rPr>
          <w:t xml:space="preserve"> of </w:t>
        </w:r>
        <w:r w:rsidR="00DD6AE3" w:rsidRPr="00DD6AE3">
          <w:rPr>
            <w:bCs/>
            <w:sz w:val="20"/>
            <w:szCs w:val="20"/>
          </w:rPr>
          <w:fldChar w:fldCharType="begin"/>
        </w:r>
        <w:r w:rsidR="00DD6AE3" w:rsidRPr="00DD6AE3">
          <w:rPr>
            <w:bCs/>
            <w:sz w:val="20"/>
            <w:szCs w:val="20"/>
          </w:rPr>
          <w:instrText xml:space="preserve"> NUMPAGES  </w:instrText>
        </w:r>
        <w:r w:rsidR="00DD6AE3" w:rsidRPr="00DD6AE3">
          <w:rPr>
            <w:bCs/>
            <w:sz w:val="20"/>
            <w:szCs w:val="20"/>
          </w:rPr>
          <w:fldChar w:fldCharType="separate"/>
        </w:r>
        <w:r>
          <w:rPr>
            <w:bCs/>
            <w:noProof/>
            <w:sz w:val="20"/>
            <w:szCs w:val="20"/>
          </w:rPr>
          <w:t>3</w:t>
        </w:r>
        <w:r w:rsidR="00DD6AE3" w:rsidRPr="00DD6AE3">
          <w:rPr>
            <w:bCs/>
            <w:sz w:val="20"/>
            <w:szCs w:val="20"/>
          </w:rPr>
          <w:fldChar w:fldCharType="end"/>
        </w:r>
      </w:sdtContent>
    </w:sdt>
    <w:r w:rsidR="00D053C5">
      <w:rPr>
        <w:noProof/>
        <w:lang w:eastAsia="en-AU"/>
      </w:rPr>
      <w:drawing>
        <wp:anchor distT="0" distB="0" distL="114300" distR="114300" simplePos="0" relativeHeight="251657216" behindDoc="0" locked="0" layoutInCell="1" allowOverlap="1" wp14:anchorId="388C2B7D" wp14:editId="746D1F6B">
          <wp:simplePos x="0" y="0"/>
          <wp:positionH relativeFrom="column">
            <wp:posOffset>4568190</wp:posOffset>
          </wp:positionH>
          <wp:positionV relativeFrom="paragraph">
            <wp:posOffset>5080</wp:posOffset>
          </wp:positionV>
          <wp:extent cx="1924050" cy="429260"/>
          <wp:effectExtent l="0" t="0" r="0" b="8890"/>
          <wp:wrapNone/>
          <wp:docPr id="183" name="Picture 183"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WP) Insignia PMS541 Right Alig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29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CDF" w:rsidRDefault="00942CDF">
      <w:r>
        <w:separator/>
      </w:r>
    </w:p>
  </w:footnote>
  <w:footnote w:type="continuationSeparator" w:id="0">
    <w:p w:rsidR="00942CDF" w:rsidRDefault="0094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6" w:rsidRDefault="00F53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7E6" w:rsidRDefault="00F53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DE" w:rsidRDefault="00D053C5" w:rsidP="0003050C">
    <w:pPr>
      <w:pStyle w:val="Header"/>
    </w:pPr>
    <w:r>
      <w:rPr>
        <w:noProof/>
        <w:lang w:eastAsia="en-AU"/>
      </w:rPr>
      <w:drawing>
        <wp:anchor distT="0" distB="0" distL="114300" distR="114300" simplePos="0" relativeHeight="251656192" behindDoc="1" locked="0" layoutInCell="1" allowOverlap="1" wp14:anchorId="662E7CDF" wp14:editId="20795EF1">
          <wp:simplePos x="0" y="0"/>
          <wp:positionH relativeFrom="column">
            <wp:posOffset>-339090</wp:posOffset>
          </wp:positionH>
          <wp:positionV relativeFrom="paragraph">
            <wp:posOffset>232410</wp:posOffset>
          </wp:positionV>
          <wp:extent cx="6843005" cy="1346200"/>
          <wp:effectExtent l="0" t="0" r="0" b="6350"/>
          <wp:wrapNone/>
          <wp:docPr id="181" name="Picture 18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073" cy="1346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B4B35"/>
    <w:multiLevelType w:val="hybridMultilevel"/>
    <w:tmpl w:val="10EEE6A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53FFE"/>
    <w:multiLevelType w:val="hybridMultilevel"/>
    <w:tmpl w:val="0B0E6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087D24"/>
    <w:multiLevelType w:val="hybridMultilevel"/>
    <w:tmpl w:val="3D4269C6"/>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6"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642CE"/>
    <w:multiLevelType w:val="hybridMultilevel"/>
    <w:tmpl w:val="AF388A72"/>
    <w:lvl w:ilvl="0" w:tplc="11728960">
      <w:start w:val="1"/>
      <w:numFmt w:val="decimal"/>
      <w:lvlText w:val="%1)"/>
      <w:lvlJc w:val="left"/>
      <w:pPr>
        <w:ind w:left="414" w:hanging="420"/>
      </w:pPr>
      <w:rPr>
        <w:rFonts w:hint="default"/>
      </w:rPr>
    </w:lvl>
    <w:lvl w:ilvl="1" w:tplc="0C090019" w:tentative="1">
      <w:start w:val="1"/>
      <w:numFmt w:val="lowerLetter"/>
      <w:lvlText w:val="%2."/>
      <w:lvlJc w:val="left"/>
      <w:pPr>
        <w:ind w:left="1074" w:hanging="360"/>
      </w:pPr>
    </w:lvl>
    <w:lvl w:ilvl="2" w:tplc="0C09001B" w:tentative="1">
      <w:start w:val="1"/>
      <w:numFmt w:val="lowerRoman"/>
      <w:lvlText w:val="%3."/>
      <w:lvlJc w:val="right"/>
      <w:pPr>
        <w:ind w:left="1794" w:hanging="180"/>
      </w:pPr>
    </w:lvl>
    <w:lvl w:ilvl="3" w:tplc="0C09000F" w:tentative="1">
      <w:start w:val="1"/>
      <w:numFmt w:val="decimal"/>
      <w:lvlText w:val="%4."/>
      <w:lvlJc w:val="left"/>
      <w:pPr>
        <w:ind w:left="2514" w:hanging="360"/>
      </w:pPr>
    </w:lvl>
    <w:lvl w:ilvl="4" w:tplc="0C090019" w:tentative="1">
      <w:start w:val="1"/>
      <w:numFmt w:val="lowerLetter"/>
      <w:lvlText w:val="%5."/>
      <w:lvlJc w:val="left"/>
      <w:pPr>
        <w:ind w:left="3234" w:hanging="360"/>
      </w:pPr>
    </w:lvl>
    <w:lvl w:ilvl="5" w:tplc="0C09001B" w:tentative="1">
      <w:start w:val="1"/>
      <w:numFmt w:val="lowerRoman"/>
      <w:lvlText w:val="%6."/>
      <w:lvlJc w:val="right"/>
      <w:pPr>
        <w:ind w:left="3954" w:hanging="180"/>
      </w:pPr>
    </w:lvl>
    <w:lvl w:ilvl="6" w:tplc="0C09000F" w:tentative="1">
      <w:start w:val="1"/>
      <w:numFmt w:val="decimal"/>
      <w:lvlText w:val="%7."/>
      <w:lvlJc w:val="left"/>
      <w:pPr>
        <w:ind w:left="4674" w:hanging="360"/>
      </w:pPr>
    </w:lvl>
    <w:lvl w:ilvl="7" w:tplc="0C090019" w:tentative="1">
      <w:start w:val="1"/>
      <w:numFmt w:val="lowerLetter"/>
      <w:lvlText w:val="%8."/>
      <w:lvlJc w:val="left"/>
      <w:pPr>
        <w:ind w:left="5394" w:hanging="360"/>
      </w:pPr>
    </w:lvl>
    <w:lvl w:ilvl="8" w:tplc="0C09001B" w:tentative="1">
      <w:start w:val="1"/>
      <w:numFmt w:val="lowerRoman"/>
      <w:lvlText w:val="%9."/>
      <w:lvlJc w:val="right"/>
      <w:pPr>
        <w:ind w:left="6114" w:hanging="180"/>
      </w:pPr>
    </w:lvl>
  </w:abstractNum>
  <w:abstractNum w:abstractNumId="20" w15:restartNumberingAfterBreak="0">
    <w:nsid w:val="5AB93ED4"/>
    <w:multiLevelType w:val="hybridMultilevel"/>
    <w:tmpl w:val="2772BEF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5060F1"/>
    <w:multiLevelType w:val="hybridMultilevel"/>
    <w:tmpl w:val="A2EEEF7E"/>
    <w:lvl w:ilvl="0" w:tplc="0C090003">
      <w:start w:val="1"/>
      <w:numFmt w:val="bullet"/>
      <w:lvlText w:val="o"/>
      <w:lvlJc w:val="left"/>
      <w:pPr>
        <w:ind w:left="1212" w:hanging="360"/>
      </w:pPr>
      <w:rPr>
        <w:rFonts w:ascii="Courier New" w:hAnsi="Courier New" w:cs="Courier New"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3" w15:restartNumberingAfterBreak="0">
    <w:nsid w:val="69BE69EE"/>
    <w:multiLevelType w:val="hybridMultilevel"/>
    <w:tmpl w:val="28BE5A1E"/>
    <w:lvl w:ilvl="0" w:tplc="0C09000F">
      <w:start w:val="1"/>
      <w:numFmt w:val="decimal"/>
      <w:lvlText w:val="%1."/>
      <w:lvlJc w:val="left"/>
      <w:pPr>
        <w:ind w:left="294" w:hanging="360"/>
      </w:pPr>
      <w:rPr>
        <w:rFont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4" w15:restartNumberingAfterBreak="0">
    <w:nsid w:val="69C57635"/>
    <w:multiLevelType w:val="hybridMultilevel"/>
    <w:tmpl w:val="95D0F6FE"/>
    <w:lvl w:ilvl="0" w:tplc="8DF45AC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D71D4"/>
    <w:multiLevelType w:val="hybridMultilevel"/>
    <w:tmpl w:val="F1C495A4"/>
    <w:lvl w:ilvl="0" w:tplc="D666ACC0">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6"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7E5CA8"/>
    <w:multiLevelType w:val="hybridMultilevel"/>
    <w:tmpl w:val="8E7EEEF8"/>
    <w:lvl w:ilvl="0" w:tplc="739EEBA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8C569D"/>
    <w:multiLevelType w:val="hybridMultilevel"/>
    <w:tmpl w:val="9D809E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E42047C"/>
    <w:multiLevelType w:val="hybridMultilevel"/>
    <w:tmpl w:val="6466F480"/>
    <w:lvl w:ilvl="0" w:tplc="0C090003">
      <w:start w:val="1"/>
      <w:numFmt w:val="bullet"/>
      <w:lvlText w:val="o"/>
      <w:lvlJc w:val="left"/>
      <w:pPr>
        <w:ind w:left="294" w:hanging="360"/>
      </w:pPr>
      <w:rPr>
        <w:rFonts w:ascii="Courier New" w:hAnsi="Courier New" w:cs="Courier New"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8"/>
  </w:num>
  <w:num w:numId="14">
    <w:abstractNumId w:val="17"/>
  </w:num>
  <w:num w:numId="15">
    <w:abstractNumId w:val="26"/>
  </w:num>
  <w:num w:numId="16">
    <w:abstractNumId w:val="12"/>
  </w:num>
  <w:num w:numId="17">
    <w:abstractNumId w:val="26"/>
  </w:num>
  <w:num w:numId="18">
    <w:abstractNumId w:val="26"/>
  </w:num>
  <w:num w:numId="19">
    <w:abstractNumId w:val="26"/>
  </w:num>
  <w:num w:numId="20">
    <w:abstractNumId w:val="11"/>
  </w:num>
  <w:num w:numId="21">
    <w:abstractNumId w:val="14"/>
  </w:num>
  <w:num w:numId="22">
    <w:abstractNumId w:val="18"/>
  </w:num>
  <w:num w:numId="23">
    <w:abstractNumId w:val="21"/>
  </w:num>
  <w:num w:numId="24">
    <w:abstractNumId w:val="13"/>
  </w:num>
  <w:num w:numId="25">
    <w:abstractNumId w:val="27"/>
  </w:num>
  <w:num w:numId="26">
    <w:abstractNumId w:val="24"/>
  </w:num>
  <w:num w:numId="27">
    <w:abstractNumId w:val="15"/>
  </w:num>
  <w:num w:numId="28">
    <w:abstractNumId w:val="19"/>
  </w:num>
  <w:num w:numId="29">
    <w:abstractNumId w:val="10"/>
  </w:num>
  <w:num w:numId="30">
    <w:abstractNumId w:val="22"/>
  </w:num>
  <w:num w:numId="31">
    <w:abstractNumId w:val="30"/>
  </w:num>
  <w:num w:numId="32">
    <w:abstractNumId w:val="29"/>
  </w:num>
  <w:num w:numId="33">
    <w:abstractNumId w:val="20"/>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drawingGridHorizontalSpacing w:val="120"/>
  <w:displayHorizontalDrawingGridEvery w:val="2"/>
  <w:displayVerticalDrawingGridEvery w:val="2"/>
  <w:characterSpacingControl w:val="doNotCompress"/>
  <w:hdrShapeDefaults>
    <o:shapedefaults v:ext="edit" spidmax="952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05EA"/>
    <w:rsid w:val="00002192"/>
    <w:rsid w:val="00002718"/>
    <w:rsid w:val="000070F9"/>
    <w:rsid w:val="00012793"/>
    <w:rsid w:val="000136B3"/>
    <w:rsid w:val="00013903"/>
    <w:rsid w:val="00013D7A"/>
    <w:rsid w:val="0003050C"/>
    <w:rsid w:val="00034D96"/>
    <w:rsid w:val="000350C3"/>
    <w:rsid w:val="0003535F"/>
    <w:rsid w:val="00047AC6"/>
    <w:rsid w:val="00055FEF"/>
    <w:rsid w:val="00063E31"/>
    <w:rsid w:val="00072B4C"/>
    <w:rsid w:val="00073F3B"/>
    <w:rsid w:val="0007557A"/>
    <w:rsid w:val="00077758"/>
    <w:rsid w:val="0008754B"/>
    <w:rsid w:val="0009699E"/>
    <w:rsid w:val="000C1E27"/>
    <w:rsid w:val="000C3259"/>
    <w:rsid w:val="000C39E4"/>
    <w:rsid w:val="000D19B9"/>
    <w:rsid w:val="000E7063"/>
    <w:rsid w:val="000F4050"/>
    <w:rsid w:val="001023CA"/>
    <w:rsid w:val="00107807"/>
    <w:rsid w:val="0011268C"/>
    <w:rsid w:val="00114AE7"/>
    <w:rsid w:val="00116F0B"/>
    <w:rsid w:val="00120C40"/>
    <w:rsid w:val="00120F3F"/>
    <w:rsid w:val="00125376"/>
    <w:rsid w:val="00127D09"/>
    <w:rsid w:val="00135491"/>
    <w:rsid w:val="0013604A"/>
    <w:rsid w:val="00137C9E"/>
    <w:rsid w:val="00154577"/>
    <w:rsid w:val="001650A1"/>
    <w:rsid w:val="00170453"/>
    <w:rsid w:val="00170A32"/>
    <w:rsid w:val="00177115"/>
    <w:rsid w:val="00181FBC"/>
    <w:rsid w:val="00184652"/>
    <w:rsid w:val="0018677B"/>
    <w:rsid w:val="00190A45"/>
    <w:rsid w:val="001A243B"/>
    <w:rsid w:val="001A5223"/>
    <w:rsid w:val="001A553D"/>
    <w:rsid w:val="001C14C3"/>
    <w:rsid w:val="001C2D21"/>
    <w:rsid w:val="001C3014"/>
    <w:rsid w:val="001E2024"/>
    <w:rsid w:val="002015AD"/>
    <w:rsid w:val="0020255B"/>
    <w:rsid w:val="002122D2"/>
    <w:rsid w:val="0021597B"/>
    <w:rsid w:val="00217D52"/>
    <w:rsid w:val="00222732"/>
    <w:rsid w:val="00226B17"/>
    <w:rsid w:val="0023439D"/>
    <w:rsid w:val="00236DA4"/>
    <w:rsid w:val="00242E78"/>
    <w:rsid w:val="00246D68"/>
    <w:rsid w:val="002526EA"/>
    <w:rsid w:val="0025482F"/>
    <w:rsid w:val="00261DCB"/>
    <w:rsid w:val="002708EF"/>
    <w:rsid w:val="002716E3"/>
    <w:rsid w:val="00271B91"/>
    <w:rsid w:val="00285925"/>
    <w:rsid w:val="00290089"/>
    <w:rsid w:val="00295636"/>
    <w:rsid w:val="00296CA1"/>
    <w:rsid w:val="002A262A"/>
    <w:rsid w:val="002A709F"/>
    <w:rsid w:val="002C4BC3"/>
    <w:rsid w:val="002C5BA2"/>
    <w:rsid w:val="002C7248"/>
    <w:rsid w:val="002D2478"/>
    <w:rsid w:val="002D3CC8"/>
    <w:rsid w:val="002D680B"/>
    <w:rsid w:val="002E2EC1"/>
    <w:rsid w:val="002E3A89"/>
    <w:rsid w:val="00307A95"/>
    <w:rsid w:val="00321F9E"/>
    <w:rsid w:val="00330679"/>
    <w:rsid w:val="00352795"/>
    <w:rsid w:val="00355784"/>
    <w:rsid w:val="00361402"/>
    <w:rsid w:val="0037039B"/>
    <w:rsid w:val="00375FF3"/>
    <w:rsid w:val="003A60AD"/>
    <w:rsid w:val="003B43DE"/>
    <w:rsid w:val="003C2962"/>
    <w:rsid w:val="003D7093"/>
    <w:rsid w:val="003E0B9A"/>
    <w:rsid w:val="003F0CD9"/>
    <w:rsid w:val="003F2F02"/>
    <w:rsid w:val="003F437F"/>
    <w:rsid w:val="003F5A5C"/>
    <w:rsid w:val="00401531"/>
    <w:rsid w:val="00404EF3"/>
    <w:rsid w:val="004131EF"/>
    <w:rsid w:val="00424751"/>
    <w:rsid w:val="004314FE"/>
    <w:rsid w:val="0043348E"/>
    <w:rsid w:val="00434C67"/>
    <w:rsid w:val="004405EE"/>
    <w:rsid w:val="004426E1"/>
    <w:rsid w:val="00453E27"/>
    <w:rsid w:val="00455AC0"/>
    <w:rsid w:val="004660B3"/>
    <w:rsid w:val="0047538B"/>
    <w:rsid w:val="0048145D"/>
    <w:rsid w:val="00484448"/>
    <w:rsid w:val="004969C1"/>
    <w:rsid w:val="004A6037"/>
    <w:rsid w:val="004B4516"/>
    <w:rsid w:val="004B6400"/>
    <w:rsid w:val="004B71CB"/>
    <w:rsid w:val="004E2C0F"/>
    <w:rsid w:val="004E4BDF"/>
    <w:rsid w:val="004E6888"/>
    <w:rsid w:val="004F1D0B"/>
    <w:rsid w:val="005016B6"/>
    <w:rsid w:val="0050769F"/>
    <w:rsid w:val="00512102"/>
    <w:rsid w:val="00521F67"/>
    <w:rsid w:val="005229C6"/>
    <w:rsid w:val="00524C52"/>
    <w:rsid w:val="005304F7"/>
    <w:rsid w:val="00534B38"/>
    <w:rsid w:val="005377F6"/>
    <w:rsid w:val="00540762"/>
    <w:rsid w:val="00544B68"/>
    <w:rsid w:val="00551C6C"/>
    <w:rsid w:val="00553652"/>
    <w:rsid w:val="00557B17"/>
    <w:rsid w:val="00563923"/>
    <w:rsid w:val="00570096"/>
    <w:rsid w:val="00573E23"/>
    <w:rsid w:val="00575F3A"/>
    <w:rsid w:val="00582724"/>
    <w:rsid w:val="00597D29"/>
    <w:rsid w:val="005A06F8"/>
    <w:rsid w:val="005B3CE8"/>
    <w:rsid w:val="005C1A86"/>
    <w:rsid w:val="005C6BAC"/>
    <w:rsid w:val="005C70F5"/>
    <w:rsid w:val="005D299D"/>
    <w:rsid w:val="005D3205"/>
    <w:rsid w:val="005D7544"/>
    <w:rsid w:val="00602A89"/>
    <w:rsid w:val="00603134"/>
    <w:rsid w:val="00604584"/>
    <w:rsid w:val="00606451"/>
    <w:rsid w:val="00607461"/>
    <w:rsid w:val="00623482"/>
    <w:rsid w:val="0062669A"/>
    <w:rsid w:val="00632914"/>
    <w:rsid w:val="00633D93"/>
    <w:rsid w:val="00642F47"/>
    <w:rsid w:val="00655CBD"/>
    <w:rsid w:val="00656186"/>
    <w:rsid w:val="00660193"/>
    <w:rsid w:val="006638DB"/>
    <w:rsid w:val="00663E83"/>
    <w:rsid w:val="006643F2"/>
    <w:rsid w:val="006672FB"/>
    <w:rsid w:val="006741C5"/>
    <w:rsid w:val="00675636"/>
    <w:rsid w:val="0069553D"/>
    <w:rsid w:val="0069559B"/>
    <w:rsid w:val="006975FE"/>
    <w:rsid w:val="006B1027"/>
    <w:rsid w:val="006B4688"/>
    <w:rsid w:val="006D1B28"/>
    <w:rsid w:val="006E53AF"/>
    <w:rsid w:val="006E67EA"/>
    <w:rsid w:val="006F3E27"/>
    <w:rsid w:val="006F53DB"/>
    <w:rsid w:val="006F707D"/>
    <w:rsid w:val="0070362A"/>
    <w:rsid w:val="00704469"/>
    <w:rsid w:val="00705440"/>
    <w:rsid w:val="00712983"/>
    <w:rsid w:val="007205BF"/>
    <w:rsid w:val="00731631"/>
    <w:rsid w:val="00750A9E"/>
    <w:rsid w:val="00752E36"/>
    <w:rsid w:val="00756A07"/>
    <w:rsid w:val="00757B13"/>
    <w:rsid w:val="0076050D"/>
    <w:rsid w:val="007702BD"/>
    <w:rsid w:val="00770E8F"/>
    <w:rsid w:val="00772D43"/>
    <w:rsid w:val="007A02A6"/>
    <w:rsid w:val="007A6F27"/>
    <w:rsid w:val="007B0E45"/>
    <w:rsid w:val="007B1469"/>
    <w:rsid w:val="007B41CF"/>
    <w:rsid w:val="007B62F8"/>
    <w:rsid w:val="007B6E26"/>
    <w:rsid w:val="007C0BF1"/>
    <w:rsid w:val="007C68C9"/>
    <w:rsid w:val="007D06DC"/>
    <w:rsid w:val="007E3E33"/>
    <w:rsid w:val="007E7F08"/>
    <w:rsid w:val="007F5211"/>
    <w:rsid w:val="00803017"/>
    <w:rsid w:val="0080683B"/>
    <w:rsid w:val="008110B2"/>
    <w:rsid w:val="00811715"/>
    <w:rsid w:val="0082409D"/>
    <w:rsid w:val="00830CDE"/>
    <w:rsid w:val="00833492"/>
    <w:rsid w:val="00833E21"/>
    <w:rsid w:val="00834943"/>
    <w:rsid w:val="0083541B"/>
    <w:rsid w:val="00844BDB"/>
    <w:rsid w:val="00845A17"/>
    <w:rsid w:val="00846AC7"/>
    <w:rsid w:val="00851030"/>
    <w:rsid w:val="00865A63"/>
    <w:rsid w:val="00872BAF"/>
    <w:rsid w:val="008732EE"/>
    <w:rsid w:val="008832F9"/>
    <w:rsid w:val="00887805"/>
    <w:rsid w:val="008979EB"/>
    <w:rsid w:val="008A3013"/>
    <w:rsid w:val="008A3B87"/>
    <w:rsid w:val="008A4136"/>
    <w:rsid w:val="008A6BBA"/>
    <w:rsid w:val="008B23C6"/>
    <w:rsid w:val="008B61B5"/>
    <w:rsid w:val="008C0C18"/>
    <w:rsid w:val="008C0D37"/>
    <w:rsid w:val="008C1B1D"/>
    <w:rsid w:val="008C2D8E"/>
    <w:rsid w:val="008E39E1"/>
    <w:rsid w:val="008F4932"/>
    <w:rsid w:val="00900442"/>
    <w:rsid w:val="00905F22"/>
    <w:rsid w:val="009068F2"/>
    <w:rsid w:val="00926BDE"/>
    <w:rsid w:val="00927E6A"/>
    <w:rsid w:val="0093399F"/>
    <w:rsid w:val="00934627"/>
    <w:rsid w:val="00942CDF"/>
    <w:rsid w:val="00953344"/>
    <w:rsid w:val="00962D3B"/>
    <w:rsid w:val="00967F28"/>
    <w:rsid w:val="00972191"/>
    <w:rsid w:val="00973FB2"/>
    <w:rsid w:val="00981EA2"/>
    <w:rsid w:val="0098721B"/>
    <w:rsid w:val="009872FB"/>
    <w:rsid w:val="009A7573"/>
    <w:rsid w:val="009C0CB5"/>
    <w:rsid w:val="009C3B5A"/>
    <w:rsid w:val="009C60C3"/>
    <w:rsid w:val="009D0723"/>
    <w:rsid w:val="009D229B"/>
    <w:rsid w:val="009E3A75"/>
    <w:rsid w:val="009E41A8"/>
    <w:rsid w:val="009E666D"/>
    <w:rsid w:val="009E66AE"/>
    <w:rsid w:val="009F2D92"/>
    <w:rsid w:val="00A0021E"/>
    <w:rsid w:val="00A00F5D"/>
    <w:rsid w:val="00A02559"/>
    <w:rsid w:val="00A03F08"/>
    <w:rsid w:val="00A04614"/>
    <w:rsid w:val="00A11BB3"/>
    <w:rsid w:val="00A11FE6"/>
    <w:rsid w:val="00A16E37"/>
    <w:rsid w:val="00A244FB"/>
    <w:rsid w:val="00A30045"/>
    <w:rsid w:val="00A357C2"/>
    <w:rsid w:val="00A36BC9"/>
    <w:rsid w:val="00A37BFA"/>
    <w:rsid w:val="00A40D96"/>
    <w:rsid w:val="00A56C4D"/>
    <w:rsid w:val="00A57DA1"/>
    <w:rsid w:val="00A641A8"/>
    <w:rsid w:val="00A6450E"/>
    <w:rsid w:val="00A67D11"/>
    <w:rsid w:val="00A730A4"/>
    <w:rsid w:val="00A736E7"/>
    <w:rsid w:val="00A80E1B"/>
    <w:rsid w:val="00A83A7C"/>
    <w:rsid w:val="00A85593"/>
    <w:rsid w:val="00A858B0"/>
    <w:rsid w:val="00A87AC6"/>
    <w:rsid w:val="00A909D4"/>
    <w:rsid w:val="00A95E44"/>
    <w:rsid w:val="00AA6401"/>
    <w:rsid w:val="00AA7FC7"/>
    <w:rsid w:val="00AB446A"/>
    <w:rsid w:val="00AB7034"/>
    <w:rsid w:val="00AC0ECF"/>
    <w:rsid w:val="00AC372B"/>
    <w:rsid w:val="00AD5036"/>
    <w:rsid w:val="00AD64B2"/>
    <w:rsid w:val="00AD739C"/>
    <w:rsid w:val="00AE012D"/>
    <w:rsid w:val="00AE6D60"/>
    <w:rsid w:val="00AF2F28"/>
    <w:rsid w:val="00AF4DB4"/>
    <w:rsid w:val="00AF7F90"/>
    <w:rsid w:val="00B067F9"/>
    <w:rsid w:val="00B068DA"/>
    <w:rsid w:val="00B077CF"/>
    <w:rsid w:val="00B1252E"/>
    <w:rsid w:val="00B137B4"/>
    <w:rsid w:val="00B24A07"/>
    <w:rsid w:val="00B264D9"/>
    <w:rsid w:val="00B31232"/>
    <w:rsid w:val="00B34E86"/>
    <w:rsid w:val="00B42E35"/>
    <w:rsid w:val="00B475BF"/>
    <w:rsid w:val="00B52306"/>
    <w:rsid w:val="00B534C6"/>
    <w:rsid w:val="00B5448E"/>
    <w:rsid w:val="00B63111"/>
    <w:rsid w:val="00B75A40"/>
    <w:rsid w:val="00B75AE1"/>
    <w:rsid w:val="00B95745"/>
    <w:rsid w:val="00B976DE"/>
    <w:rsid w:val="00BA2608"/>
    <w:rsid w:val="00BA5BB0"/>
    <w:rsid w:val="00BB1D18"/>
    <w:rsid w:val="00BB1D8D"/>
    <w:rsid w:val="00BB37E4"/>
    <w:rsid w:val="00BC02E8"/>
    <w:rsid w:val="00BC1E23"/>
    <w:rsid w:val="00BC2E9E"/>
    <w:rsid w:val="00BC31CD"/>
    <w:rsid w:val="00BD4BC3"/>
    <w:rsid w:val="00BE72C0"/>
    <w:rsid w:val="00BF62F9"/>
    <w:rsid w:val="00C061DD"/>
    <w:rsid w:val="00C12A10"/>
    <w:rsid w:val="00C24166"/>
    <w:rsid w:val="00C36059"/>
    <w:rsid w:val="00C403BA"/>
    <w:rsid w:val="00C403F5"/>
    <w:rsid w:val="00C46B5E"/>
    <w:rsid w:val="00C651CE"/>
    <w:rsid w:val="00C67278"/>
    <w:rsid w:val="00C73267"/>
    <w:rsid w:val="00C772CA"/>
    <w:rsid w:val="00C86652"/>
    <w:rsid w:val="00C86B17"/>
    <w:rsid w:val="00CA19B7"/>
    <w:rsid w:val="00CA7096"/>
    <w:rsid w:val="00CB7E1F"/>
    <w:rsid w:val="00CC3255"/>
    <w:rsid w:val="00CD0CAF"/>
    <w:rsid w:val="00CE10A1"/>
    <w:rsid w:val="00CE1F71"/>
    <w:rsid w:val="00CE7ED1"/>
    <w:rsid w:val="00CF3928"/>
    <w:rsid w:val="00CF5E50"/>
    <w:rsid w:val="00CF79AB"/>
    <w:rsid w:val="00D01043"/>
    <w:rsid w:val="00D031F0"/>
    <w:rsid w:val="00D033C6"/>
    <w:rsid w:val="00D053C5"/>
    <w:rsid w:val="00D114E4"/>
    <w:rsid w:val="00D11924"/>
    <w:rsid w:val="00D13102"/>
    <w:rsid w:val="00D162B9"/>
    <w:rsid w:val="00D33BE6"/>
    <w:rsid w:val="00D408CF"/>
    <w:rsid w:val="00D411FF"/>
    <w:rsid w:val="00D43569"/>
    <w:rsid w:val="00D54DE0"/>
    <w:rsid w:val="00D551E5"/>
    <w:rsid w:val="00D554C5"/>
    <w:rsid w:val="00D564A9"/>
    <w:rsid w:val="00D57FF0"/>
    <w:rsid w:val="00D634D8"/>
    <w:rsid w:val="00D67FE7"/>
    <w:rsid w:val="00D7161C"/>
    <w:rsid w:val="00D76CCD"/>
    <w:rsid w:val="00D77F31"/>
    <w:rsid w:val="00D80ECE"/>
    <w:rsid w:val="00D840DE"/>
    <w:rsid w:val="00D85A2B"/>
    <w:rsid w:val="00D86654"/>
    <w:rsid w:val="00D9369C"/>
    <w:rsid w:val="00DA0042"/>
    <w:rsid w:val="00DA215D"/>
    <w:rsid w:val="00DC59E1"/>
    <w:rsid w:val="00DC68E1"/>
    <w:rsid w:val="00DD0AB3"/>
    <w:rsid w:val="00DD3436"/>
    <w:rsid w:val="00DD6A29"/>
    <w:rsid w:val="00DD6AE3"/>
    <w:rsid w:val="00DE2624"/>
    <w:rsid w:val="00DE5117"/>
    <w:rsid w:val="00DF6665"/>
    <w:rsid w:val="00E07718"/>
    <w:rsid w:val="00E10E20"/>
    <w:rsid w:val="00E15BD0"/>
    <w:rsid w:val="00E2394C"/>
    <w:rsid w:val="00E30FFD"/>
    <w:rsid w:val="00E3258A"/>
    <w:rsid w:val="00E325A1"/>
    <w:rsid w:val="00E326E9"/>
    <w:rsid w:val="00E32E6D"/>
    <w:rsid w:val="00E42047"/>
    <w:rsid w:val="00E51072"/>
    <w:rsid w:val="00E56D27"/>
    <w:rsid w:val="00E6278D"/>
    <w:rsid w:val="00E73C16"/>
    <w:rsid w:val="00E753F7"/>
    <w:rsid w:val="00E8448C"/>
    <w:rsid w:val="00E8487D"/>
    <w:rsid w:val="00E85E30"/>
    <w:rsid w:val="00E90398"/>
    <w:rsid w:val="00E9178F"/>
    <w:rsid w:val="00E9607E"/>
    <w:rsid w:val="00EA31C2"/>
    <w:rsid w:val="00EB2BB2"/>
    <w:rsid w:val="00EB75EA"/>
    <w:rsid w:val="00EC4DCD"/>
    <w:rsid w:val="00EC6F19"/>
    <w:rsid w:val="00EC7F48"/>
    <w:rsid w:val="00ED1C70"/>
    <w:rsid w:val="00EE2CD0"/>
    <w:rsid w:val="00EF3FEC"/>
    <w:rsid w:val="00EF6C10"/>
    <w:rsid w:val="00F0013D"/>
    <w:rsid w:val="00F04C83"/>
    <w:rsid w:val="00F10E2C"/>
    <w:rsid w:val="00F131AA"/>
    <w:rsid w:val="00F13B95"/>
    <w:rsid w:val="00F15CF7"/>
    <w:rsid w:val="00F213EF"/>
    <w:rsid w:val="00F238A0"/>
    <w:rsid w:val="00F27E16"/>
    <w:rsid w:val="00F346E3"/>
    <w:rsid w:val="00F40193"/>
    <w:rsid w:val="00F42F78"/>
    <w:rsid w:val="00F46148"/>
    <w:rsid w:val="00F537E6"/>
    <w:rsid w:val="00F54CCE"/>
    <w:rsid w:val="00F67782"/>
    <w:rsid w:val="00F708A6"/>
    <w:rsid w:val="00F7187B"/>
    <w:rsid w:val="00F74678"/>
    <w:rsid w:val="00F83A6F"/>
    <w:rsid w:val="00F845F4"/>
    <w:rsid w:val="00F910D5"/>
    <w:rsid w:val="00F91188"/>
    <w:rsid w:val="00F930FD"/>
    <w:rsid w:val="00F9403D"/>
    <w:rsid w:val="00FA2BC8"/>
    <w:rsid w:val="00FA6241"/>
    <w:rsid w:val="00FB07DF"/>
    <w:rsid w:val="00FB3DC0"/>
    <w:rsid w:val="00FC01F8"/>
    <w:rsid w:val="00FC4E61"/>
    <w:rsid w:val="00FC7026"/>
    <w:rsid w:val="00FC7662"/>
    <w:rsid w:val="00FD22DC"/>
    <w:rsid w:val="00FD34FA"/>
    <w:rsid w:val="00FD57C2"/>
    <w:rsid w:val="00FD674C"/>
    <w:rsid w:val="00FD74D6"/>
    <w:rsid w:val="00FE0078"/>
    <w:rsid w:val="00FE229F"/>
    <w:rsid w:val="00FE4D41"/>
    <w:rsid w:val="00FE4EB7"/>
    <w:rsid w:val="00FF0FE0"/>
    <w:rsid w:val="00FF175A"/>
    <w:rsid w:val="00FF3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14:docId w14:val="11A9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qFormat/>
    <w:rsid w:val="008110B2"/>
    <w:rPr>
      <w:rFonts w:ascii="Calibri" w:hAnsi="Calibri"/>
      <w:sz w:val="22"/>
      <w:szCs w:val="24"/>
      <w:lang w:eastAsia="en-US"/>
    </w:rPr>
  </w:style>
  <w:style w:type="paragraph" w:styleId="Heading1">
    <w:name w:val="heading 1"/>
    <w:basedOn w:val="Normal"/>
    <w:next w:val="Normal"/>
    <w:qFormat/>
    <w:rsid w:val="008110B2"/>
    <w:pPr>
      <w:keepNext/>
      <w:spacing w:before="240" w:after="60"/>
      <w:outlineLvl w:val="0"/>
    </w:pPr>
    <w:rPr>
      <w:rFonts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8110B2"/>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3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table" w:customStyle="1" w:styleId="TableGrid10">
    <w:name w:val="Table Grid1"/>
    <w:basedOn w:val="TableNormal"/>
    <w:next w:val="TableGrid"/>
    <w:uiPriority w:val="59"/>
    <w:rsid w:val="00D76C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023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6AE3"/>
    <w:rPr>
      <w:rFonts w:ascii="Calibri" w:hAnsi="Calibri"/>
      <w:sz w:val="22"/>
      <w:szCs w:val="24"/>
      <w:lang w:eastAsia="en-US"/>
    </w:rPr>
  </w:style>
  <w:style w:type="paragraph" w:styleId="ListParagraph">
    <w:name w:val="List Paragraph"/>
    <w:basedOn w:val="Normal"/>
    <w:uiPriority w:val="34"/>
    <w:qFormat/>
    <w:rsid w:val="00F346E3"/>
    <w:pPr>
      <w:ind w:left="720"/>
      <w:contextualSpacing/>
    </w:pPr>
  </w:style>
  <w:style w:type="paragraph" w:styleId="Bibliography">
    <w:name w:val="Bibliography"/>
    <w:basedOn w:val="Normal"/>
    <w:next w:val="Normal"/>
    <w:uiPriority w:val="37"/>
    <w:semiHidden/>
    <w:rsid w:val="00D77F31"/>
  </w:style>
  <w:style w:type="paragraph" w:styleId="Caption0">
    <w:name w:val="caption"/>
    <w:basedOn w:val="Normal"/>
    <w:next w:val="Normal"/>
    <w:semiHidden/>
    <w:unhideWhenUsed/>
    <w:qFormat/>
    <w:rsid w:val="00D77F31"/>
    <w:pPr>
      <w:spacing w:after="200"/>
    </w:pPr>
    <w:rPr>
      <w:b/>
      <w:bCs/>
      <w:color w:val="4F81BD" w:themeColor="accent1"/>
      <w:sz w:val="18"/>
      <w:szCs w:val="18"/>
    </w:rPr>
  </w:style>
  <w:style w:type="paragraph" w:styleId="CommentText">
    <w:name w:val="annotation text"/>
    <w:basedOn w:val="Normal"/>
    <w:link w:val="CommentTextChar"/>
    <w:semiHidden/>
    <w:rsid w:val="00D77F31"/>
    <w:rPr>
      <w:sz w:val="20"/>
      <w:szCs w:val="20"/>
    </w:rPr>
  </w:style>
  <w:style w:type="character" w:customStyle="1" w:styleId="CommentTextChar">
    <w:name w:val="Comment Text Char"/>
    <w:basedOn w:val="DefaultParagraphFont"/>
    <w:link w:val="CommentText"/>
    <w:semiHidden/>
    <w:rsid w:val="00D77F31"/>
    <w:rPr>
      <w:rFonts w:ascii="Calibri" w:hAnsi="Calibri"/>
      <w:lang w:eastAsia="en-US"/>
    </w:rPr>
  </w:style>
  <w:style w:type="paragraph" w:styleId="CommentSubject">
    <w:name w:val="annotation subject"/>
    <w:basedOn w:val="CommentText"/>
    <w:next w:val="CommentText"/>
    <w:link w:val="CommentSubjectChar"/>
    <w:semiHidden/>
    <w:rsid w:val="00D77F31"/>
    <w:rPr>
      <w:b/>
      <w:bCs/>
    </w:rPr>
  </w:style>
  <w:style w:type="character" w:customStyle="1" w:styleId="CommentSubjectChar">
    <w:name w:val="Comment Subject Char"/>
    <w:basedOn w:val="CommentTextChar"/>
    <w:link w:val="CommentSubject"/>
    <w:semiHidden/>
    <w:rsid w:val="00D77F31"/>
    <w:rPr>
      <w:rFonts w:ascii="Calibri" w:hAnsi="Calibri"/>
      <w:b/>
      <w:bCs/>
      <w:lang w:eastAsia="en-US"/>
    </w:rPr>
  </w:style>
  <w:style w:type="paragraph" w:styleId="DocumentMap">
    <w:name w:val="Document Map"/>
    <w:basedOn w:val="Normal"/>
    <w:link w:val="DocumentMapChar"/>
    <w:semiHidden/>
    <w:rsid w:val="00D77F31"/>
    <w:rPr>
      <w:rFonts w:ascii="Tahoma" w:hAnsi="Tahoma" w:cs="Tahoma"/>
      <w:sz w:val="16"/>
      <w:szCs w:val="16"/>
    </w:rPr>
  </w:style>
  <w:style w:type="character" w:customStyle="1" w:styleId="DocumentMapChar">
    <w:name w:val="Document Map Char"/>
    <w:basedOn w:val="DefaultParagraphFont"/>
    <w:link w:val="DocumentMap"/>
    <w:semiHidden/>
    <w:rsid w:val="00D77F31"/>
    <w:rPr>
      <w:rFonts w:ascii="Tahoma" w:hAnsi="Tahoma" w:cs="Tahoma"/>
      <w:sz w:val="16"/>
      <w:szCs w:val="16"/>
      <w:lang w:eastAsia="en-US"/>
    </w:rPr>
  </w:style>
  <w:style w:type="paragraph" w:styleId="EndnoteText">
    <w:name w:val="endnote text"/>
    <w:basedOn w:val="Normal"/>
    <w:link w:val="EndnoteTextChar"/>
    <w:semiHidden/>
    <w:rsid w:val="00D77F31"/>
    <w:rPr>
      <w:sz w:val="20"/>
      <w:szCs w:val="20"/>
    </w:rPr>
  </w:style>
  <w:style w:type="character" w:customStyle="1" w:styleId="EndnoteTextChar">
    <w:name w:val="Endnote Text Char"/>
    <w:basedOn w:val="DefaultParagraphFont"/>
    <w:link w:val="EndnoteText"/>
    <w:semiHidden/>
    <w:rsid w:val="00D77F31"/>
    <w:rPr>
      <w:rFonts w:ascii="Calibri" w:hAnsi="Calibri"/>
      <w:lang w:eastAsia="en-US"/>
    </w:rPr>
  </w:style>
  <w:style w:type="paragraph" w:styleId="Index1">
    <w:name w:val="index 1"/>
    <w:basedOn w:val="Normal"/>
    <w:next w:val="Normal"/>
    <w:autoRedefine/>
    <w:semiHidden/>
    <w:rsid w:val="00D77F31"/>
    <w:pPr>
      <w:ind w:left="220" w:hanging="220"/>
    </w:pPr>
  </w:style>
  <w:style w:type="paragraph" w:styleId="Index2">
    <w:name w:val="index 2"/>
    <w:basedOn w:val="Normal"/>
    <w:next w:val="Normal"/>
    <w:autoRedefine/>
    <w:semiHidden/>
    <w:rsid w:val="00D77F31"/>
    <w:pPr>
      <w:ind w:left="440" w:hanging="220"/>
    </w:pPr>
  </w:style>
  <w:style w:type="paragraph" w:styleId="Index3">
    <w:name w:val="index 3"/>
    <w:basedOn w:val="Normal"/>
    <w:next w:val="Normal"/>
    <w:autoRedefine/>
    <w:semiHidden/>
    <w:rsid w:val="00D77F31"/>
    <w:pPr>
      <w:ind w:left="660" w:hanging="220"/>
    </w:pPr>
  </w:style>
  <w:style w:type="paragraph" w:styleId="Index4">
    <w:name w:val="index 4"/>
    <w:basedOn w:val="Normal"/>
    <w:next w:val="Normal"/>
    <w:autoRedefine/>
    <w:semiHidden/>
    <w:rsid w:val="00D77F31"/>
    <w:pPr>
      <w:ind w:left="880" w:hanging="220"/>
    </w:pPr>
  </w:style>
  <w:style w:type="paragraph" w:styleId="Index5">
    <w:name w:val="index 5"/>
    <w:basedOn w:val="Normal"/>
    <w:next w:val="Normal"/>
    <w:autoRedefine/>
    <w:semiHidden/>
    <w:rsid w:val="00D77F31"/>
    <w:pPr>
      <w:ind w:left="1100" w:hanging="220"/>
    </w:pPr>
  </w:style>
  <w:style w:type="paragraph" w:styleId="Index6">
    <w:name w:val="index 6"/>
    <w:basedOn w:val="Normal"/>
    <w:next w:val="Normal"/>
    <w:autoRedefine/>
    <w:semiHidden/>
    <w:rsid w:val="00D77F31"/>
    <w:pPr>
      <w:ind w:left="1320" w:hanging="220"/>
    </w:pPr>
  </w:style>
  <w:style w:type="paragraph" w:styleId="Index7">
    <w:name w:val="index 7"/>
    <w:basedOn w:val="Normal"/>
    <w:next w:val="Normal"/>
    <w:autoRedefine/>
    <w:semiHidden/>
    <w:rsid w:val="00D77F31"/>
    <w:pPr>
      <w:ind w:left="1540" w:hanging="220"/>
    </w:pPr>
  </w:style>
  <w:style w:type="paragraph" w:styleId="Index8">
    <w:name w:val="index 8"/>
    <w:basedOn w:val="Normal"/>
    <w:next w:val="Normal"/>
    <w:autoRedefine/>
    <w:semiHidden/>
    <w:rsid w:val="00D77F31"/>
    <w:pPr>
      <w:ind w:left="1760" w:hanging="220"/>
    </w:pPr>
  </w:style>
  <w:style w:type="paragraph" w:styleId="Index9">
    <w:name w:val="index 9"/>
    <w:basedOn w:val="Normal"/>
    <w:next w:val="Normal"/>
    <w:autoRedefine/>
    <w:semiHidden/>
    <w:rsid w:val="00D77F31"/>
    <w:pPr>
      <w:ind w:left="1980" w:hanging="220"/>
    </w:pPr>
  </w:style>
  <w:style w:type="paragraph" w:styleId="IndexHeading">
    <w:name w:val="index heading"/>
    <w:basedOn w:val="Normal"/>
    <w:next w:val="Index1"/>
    <w:semiHidden/>
    <w:rsid w:val="00D77F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7F3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7F31"/>
    <w:rPr>
      <w:rFonts w:ascii="Calibri" w:hAnsi="Calibri"/>
      <w:b/>
      <w:bCs/>
      <w:i/>
      <w:iCs/>
      <w:color w:val="4F81BD" w:themeColor="accent1"/>
      <w:sz w:val="22"/>
      <w:szCs w:val="24"/>
      <w:lang w:eastAsia="en-US"/>
    </w:rPr>
  </w:style>
  <w:style w:type="paragraph" w:styleId="MacroText">
    <w:name w:val="macro"/>
    <w:link w:val="MacroTextChar"/>
    <w:semiHidden/>
    <w:rsid w:val="00D77F3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D77F31"/>
    <w:rPr>
      <w:rFonts w:ascii="Consolas" w:hAnsi="Consolas"/>
      <w:lang w:eastAsia="en-US"/>
    </w:rPr>
  </w:style>
  <w:style w:type="paragraph" w:styleId="NoSpacing">
    <w:name w:val="No Spacing"/>
    <w:uiPriority w:val="1"/>
    <w:qFormat/>
    <w:rsid w:val="00D77F31"/>
    <w:rPr>
      <w:rFonts w:ascii="Calibri" w:hAnsi="Calibri"/>
      <w:sz w:val="22"/>
      <w:szCs w:val="24"/>
      <w:lang w:eastAsia="en-US"/>
    </w:rPr>
  </w:style>
  <w:style w:type="paragraph" w:styleId="Quote">
    <w:name w:val="Quote"/>
    <w:basedOn w:val="Normal"/>
    <w:next w:val="Normal"/>
    <w:link w:val="QuoteChar"/>
    <w:uiPriority w:val="29"/>
    <w:qFormat/>
    <w:rsid w:val="00D77F31"/>
    <w:rPr>
      <w:i/>
      <w:iCs/>
      <w:color w:val="000000" w:themeColor="text1"/>
    </w:rPr>
  </w:style>
  <w:style w:type="character" w:customStyle="1" w:styleId="QuoteChar">
    <w:name w:val="Quote Char"/>
    <w:basedOn w:val="DefaultParagraphFont"/>
    <w:link w:val="Quote"/>
    <w:uiPriority w:val="29"/>
    <w:rsid w:val="00D77F31"/>
    <w:rPr>
      <w:rFonts w:ascii="Calibri" w:hAnsi="Calibri"/>
      <w:i/>
      <w:iCs/>
      <w:color w:val="000000" w:themeColor="text1"/>
      <w:sz w:val="22"/>
      <w:szCs w:val="24"/>
      <w:lang w:eastAsia="en-US"/>
    </w:rPr>
  </w:style>
  <w:style w:type="paragraph" w:styleId="TableofAuthorities">
    <w:name w:val="table of authorities"/>
    <w:basedOn w:val="Normal"/>
    <w:next w:val="Normal"/>
    <w:semiHidden/>
    <w:rsid w:val="00D77F31"/>
    <w:pPr>
      <w:ind w:left="220" w:hanging="220"/>
    </w:pPr>
  </w:style>
  <w:style w:type="paragraph" w:styleId="TableofFigures">
    <w:name w:val="table of figures"/>
    <w:basedOn w:val="Normal"/>
    <w:next w:val="Normal"/>
    <w:semiHidden/>
    <w:rsid w:val="00D77F31"/>
  </w:style>
  <w:style w:type="paragraph" w:styleId="TOAHeading">
    <w:name w:val="toa heading"/>
    <w:basedOn w:val="Normal"/>
    <w:next w:val="Normal"/>
    <w:semiHidden/>
    <w:rsid w:val="00D77F31"/>
    <w:pPr>
      <w:spacing w:before="120"/>
    </w:pPr>
    <w:rPr>
      <w:rFonts w:asciiTheme="majorHAnsi" w:eastAsiaTheme="majorEastAsia" w:hAnsiTheme="majorHAnsi" w:cstheme="majorBidi"/>
      <w:b/>
      <w:bCs/>
      <w:sz w:val="24"/>
    </w:rPr>
  </w:style>
  <w:style w:type="paragraph" w:styleId="TOC1">
    <w:name w:val="toc 1"/>
    <w:basedOn w:val="Normal"/>
    <w:next w:val="Normal"/>
    <w:autoRedefine/>
    <w:semiHidden/>
    <w:rsid w:val="00D77F31"/>
    <w:pPr>
      <w:spacing w:after="100"/>
    </w:pPr>
  </w:style>
  <w:style w:type="paragraph" w:styleId="TOC2">
    <w:name w:val="toc 2"/>
    <w:basedOn w:val="Normal"/>
    <w:next w:val="Normal"/>
    <w:autoRedefine/>
    <w:semiHidden/>
    <w:rsid w:val="00D77F31"/>
    <w:pPr>
      <w:spacing w:after="100"/>
      <w:ind w:left="220"/>
    </w:pPr>
  </w:style>
  <w:style w:type="paragraph" w:styleId="TOC3">
    <w:name w:val="toc 3"/>
    <w:basedOn w:val="Normal"/>
    <w:next w:val="Normal"/>
    <w:autoRedefine/>
    <w:semiHidden/>
    <w:rsid w:val="00D77F31"/>
    <w:pPr>
      <w:spacing w:after="100"/>
      <w:ind w:left="440"/>
    </w:pPr>
  </w:style>
  <w:style w:type="paragraph" w:styleId="TOC4">
    <w:name w:val="toc 4"/>
    <w:basedOn w:val="Normal"/>
    <w:next w:val="Normal"/>
    <w:autoRedefine/>
    <w:semiHidden/>
    <w:rsid w:val="00D77F31"/>
    <w:pPr>
      <w:spacing w:after="100"/>
      <w:ind w:left="660"/>
    </w:pPr>
  </w:style>
  <w:style w:type="paragraph" w:styleId="TOC5">
    <w:name w:val="toc 5"/>
    <w:basedOn w:val="Normal"/>
    <w:next w:val="Normal"/>
    <w:autoRedefine/>
    <w:semiHidden/>
    <w:rsid w:val="00D77F31"/>
    <w:pPr>
      <w:spacing w:after="100"/>
      <w:ind w:left="880"/>
    </w:pPr>
  </w:style>
  <w:style w:type="paragraph" w:styleId="TOC6">
    <w:name w:val="toc 6"/>
    <w:basedOn w:val="Normal"/>
    <w:next w:val="Normal"/>
    <w:autoRedefine/>
    <w:semiHidden/>
    <w:rsid w:val="00D77F31"/>
    <w:pPr>
      <w:spacing w:after="100"/>
      <w:ind w:left="1100"/>
    </w:pPr>
  </w:style>
  <w:style w:type="paragraph" w:styleId="TOC7">
    <w:name w:val="toc 7"/>
    <w:basedOn w:val="Normal"/>
    <w:next w:val="Normal"/>
    <w:autoRedefine/>
    <w:semiHidden/>
    <w:rsid w:val="00D77F31"/>
    <w:pPr>
      <w:spacing w:after="100"/>
      <w:ind w:left="1320"/>
    </w:pPr>
  </w:style>
  <w:style w:type="paragraph" w:styleId="TOC8">
    <w:name w:val="toc 8"/>
    <w:basedOn w:val="Normal"/>
    <w:next w:val="Normal"/>
    <w:autoRedefine/>
    <w:semiHidden/>
    <w:rsid w:val="00D77F31"/>
    <w:pPr>
      <w:spacing w:after="100"/>
      <w:ind w:left="1540"/>
    </w:pPr>
  </w:style>
  <w:style w:type="paragraph" w:styleId="TOC9">
    <w:name w:val="toc 9"/>
    <w:basedOn w:val="Normal"/>
    <w:next w:val="Normal"/>
    <w:autoRedefine/>
    <w:semiHidden/>
    <w:rsid w:val="00D77F31"/>
    <w:pPr>
      <w:spacing w:after="100"/>
      <w:ind w:left="1760"/>
    </w:pPr>
  </w:style>
  <w:style w:type="paragraph" w:styleId="TOCHeading">
    <w:name w:val="TOC Heading"/>
    <w:basedOn w:val="Heading1"/>
    <w:next w:val="Normal"/>
    <w:uiPriority w:val="39"/>
    <w:semiHidden/>
    <w:unhideWhenUsed/>
    <w:qFormat/>
    <w:rsid w:val="00D77F3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table" w:customStyle="1" w:styleId="TableGrid12">
    <w:name w:val="Table Grid12"/>
    <w:basedOn w:val="TableNormal"/>
    <w:next w:val="TableGrid"/>
    <w:uiPriority w:val="59"/>
    <w:rsid w:val="004B45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wp.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839A-4D80-4B66-AA97-CC218388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2018-05-03T06:23:00Z</dcterms:created>
  <dcterms:modified xsi:type="dcterms:W3CDTF">2018-07-06T00:22:00Z</dcterms:modified>
</cp:coreProperties>
</file>