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644C88">
            <w:pPr>
              <w:pStyle w:val="CertHBWhite"/>
            </w:pPr>
            <w:r>
              <w:rPr>
                <w:noProof/>
                <w:lang w:eastAsia="en-AU"/>
              </w:rPr>
              <mc:AlternateContent>
                <mc:Choice Requires="wps">
                  <w:drawing>
                    <wp:anchor distT="0" distB="0" distL="114300" distR="114300" simplePos="0" relativeHeight="251657728" behindDoc="0" locked="0" layoutInCell="1" allowOverlap="1" wp14:anchorId="7005825B" wp14:editId="1E66C762">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580337" w:rsidP="00B87CF6">
                                  <w:pPr>
                                    <w:pStyle w:val="CertHDWhite"/>
                                  </w:pPr>
                                  <w:proofErr w:type="spellStart"/>
                                  <w:r>
                                    <w:t>Dja</w:t>
                                  </w:r>
                                  <w:proofErr w:type="spellEnd"/>
                                  <w:r>
                                    <w:t xml:space="preserve"> </w:t>
                                  </w:r>
                                  <w:proofErr w:type="spellStart"/>
                                  <w:r>
                                    <w:t>Dja</w:t>
                                  </w:r>
                                  <w:proofErr w:type="spellEnd"/>
                                  <w:r>
                                    <w:t xml:space="preserve"> Wurrung On Country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580337" w:rsidP="00B87CF6">
                            <w:pPr>
                              <w:pStyle w:val="CertHDWhite"/>
                            </w:pPr>
                            <w:proofErr w:type="spellStart"/>
                            <w:r>
                              <w:t>Dja</w:t>
                            </w:r>
                            <w:proofErr w:type="spellEnd"/>
                            <w:r>
                              <w:t xml:space="preserve"> </w:t>
                            </w:r>
                            <w:proofErr w:type="spellStart"/>
                            <w:r>
                              <w:t>Dja</w:t>
                            </w:r>
                            <w:proofErr w:type="spellEnd"/>
                            <w:r>
                              <w:t xml:space="preserve"> Wurrung On Country Rights</w:t>
                            </w:r>
                          </w:p>
                        </w:txbxContent>
                      </v:textbox>
                    </v:shape>
                  </w:pict>
                </mc:Fallback>
              </mc:AlternateContent>
            </w:r>
            <w:r w:rsidR="00580337">
              <w:t>Camping</w:t>
            </w:r>
            <w:r w:rsidR="00DD72C7">
              <w:t xml:space="preserve"> Rights</w:t>
            </w:r>
          </w:p>
        </w:tc>
      </w:tr>
    </w:tbl>
    <w:p w:rsidR="00580337" w:rsidRDefault="00580337" w:rsidP="00580337">
      <w:pPr>
        <w:pStyle w:val="Pullout"/>
      </w:pPr>
      <w:bookmarkStart w:id="0" w:name="Here"/>
      <w:bookmarkEnd w:id="0"/>
      <w:proofErr w:type="spellStart"/>
      <w:r>
        <w:t>Dja</w:t>
      </w:r>
      <w:proofErr w:type="spellEnd"/>
      <w:r>
        <w:t xml:space="preserve"> </w:t>
      </w:r>
      <w:proofErr w:type="spellStart"/>
      <w:r>
        <w:t>Dja</w:t>
      </w:r>
      <w:proofErr w:type="spellEnd"/>
      <w:r>
        <w:t xml:space="preserve"> Wurrung People have lived on our traditional lands and cared for our Country over many thousands of years. For us, Country is more than just the landscape, it is more than what is visible to the eye - it is a living entity, which holds the stories of creation and histories that cannot be erased. We feel an affinity with the land when we’re on </w:t>
      </w:r>
      <w:proofErr w:type="spellStart"/>
      <w:r>
        <w:t>Dja</w:t>
      </w:r>
      <w:proofErr w:type="spellEnd"/>
      <w:r>
        <w:t xml:space="preserve"> </w:t>
      </w:r>
      <w:proofErr w:type="spellStart"/>
      <w:r>
        <w:t>Dja</w:t>
      </w:r>
      <w:proofErr w:type="spellEnd"/>
      <w:r>
        <w:t xml:space="preserve"> Wurrung Country; the ancestor’s spirit is in the rock, the tree, within the earth, the wind, the clouds and the fire. There is an inner peace that runs through us, a feeling of recognition and belonging to our Country spiritually. We maintain this strong physical relationship with </w:t>
      </w:r>
      <w:proofErr w:type="spellStart"/>
      <w:r>
        <w:t>Dja</w:t>
      </w:r>
      <w:proofErr w:type="spellEnd"/>
      <w:r>
        <w:t xml:space="preserve"> </w:t>
      </w:r>
      <w:proofErr w:type="spellStart"/>
      <w:r>
        <w:t>Dja</w:t>
      </w:r>
      <w:proofErr w:type="spellEnd"/>
      <w:r>
        <w:t xml:space="preserve"> Wurrung Country by continuing to access it, looking after it and by using its natural resources respectfully.</w:t>
      </w:r>
    </w:p>
    <w:p w:rsidR="00580337" w:rsidRDefault="00580337" w:rsidP="00580337">
      <w:pPr>
        <w:pStyle w:val="Pullout"/>
      </w:pPr>
      <w:r>
        <w:t xml:space="preserve">Rebecca Phillips – </w:t>
      </w:r>
      <w:proofErr w:type="spellStart"/>
      <w:r>
        <w:t>Dja</w:t>
      </w:r>
      <w:proofErr w:type="spellEnd"/>
      <w:r>
        <w:t xml:space="preserve"> </w:t>
      </w:r>
      <w:proofErr w:type="spellStart"/>
      <w:r>
        <w:t>Dja</w:t>
      </w:r>
      <w:proofErr w:type="spellEnd"/>
      <w:r>
        <w:t xml:space="preserve"> Wurrung member</w:t>
      </w:r>
    </w:p>
    <w:p w:rsidR="00580337" w:rsidRDefault="00580337" w:rsidP="00580337">
      <w:pPr>
        <w:pStyle w:val="Body"/>
      </w:pPr>
      <w:r>
        <w:t xml:space="preserve">This page gives more detailed information about </w:t>
      </w:r>
      <w:proofErr w:type="spellStart"/>
      <w:r>
        <w:t>Dja</w:t>
      </w:r>
      <w:proofErr w:type="spellEnd"/>
      <w:r>
        <w:t xml:space="preserve"> </w:t>
      </w:r>
      <w:proofErr w:type="spellStart"/>
      <w:r>
        <w:t>Dja</w:t>
      </w:r>
      <w:proofErr w:type="spellEnd"/>
      <w:r>
        <w:t xml:space="preserve"> Wurrung camping rights under the </w:t>
      </w:r>
      <w:r>
        <w:rPr>
          <w:i/>
        </w:rPr>
        <w:t>Recognition and Settlement Agreement</w:t>
      </w:r>
      <w:r>
        <w:t xml:space="preserve"> with the state of Victoria. Please see the </w:t>
      </w:r>
      <w:r w:rsidRPr="004847BF">
        <w:t>Introduction</w:t>
      </w:r>
      <w:r>
        <w:t xml:space="preserve"> </w:t>
      </w:r>
      <w:proofErr w:type="spellStart"/>
      <w:r w:rsidR="004847BF">
        <w:t>infosheet</w:t>
      </w:r>
      <w:proofErr w:type="spellEnd"/>
      <w:r>
        <w:t xml:space="preserve"> for important general information about your rights under that agreement before you read this page.</w:t>
      </w:r>
    </w:p>
    <w:p w:rsidR="00580337" w:rsidRDefault="00580337" w:rsidP="00580337">
      <w:pPr>
        <w:pStyle w:val="Body"/>
      </w:pPr>
      <w:r>
        <w:t xml:space="preserve">You need to have your Verification Card with you whenever you are camping under these Traditional Owner rights, or be with another </w:t>
      </w:r>
      <w:proofErr w:type="spellStart"/>
      <w:r>
        <w:t>Dja</w:t>
      </w:r>
      <w:proofErr w:type="spellEnd"/>
      <w:r>
        <w:t xml:space="preserve"> </w:t>
      </w:r>
      <w:proofErr w:type="spellStart"/>
      <w:r>
        <w:t>Dja</w:t>
      </w:r>
      <w:proofErr w:type="spellEnd"/>
      <w:r>
        <w:t xml:space="preserve"> Wurrung person who has their Verification Card. </w:t>
      </w:r>
    </w:p>
    <w:p w:rsidR="00580337" w:rsidRDefault="00580337" w:rsidP="00580337">
      <w:pPr>
        <w:pStyle w:val="HA"/>
        <w:spacing w:after="360"/>
      </w:pPr>
      <w:r>
        <w:t>Camping Rights - overview</w:t>
      </w:r>
      <w:r>
        <w:tab/>
      </w:r>
    </w:p>
    <w:p w:rsidR="00580337" w:rsidRDefault="00580337" w:rsidP="00580337">
      <w:pPr>
        <w:pStyle w:val="Body"/>
      </w:pPr>
      <w:proofErr w:type="spellStart"/>
      <w:r>
        <w:t>Dja</w:t>
      </w:r>
      <w:proofErr w:type="spellEnd"/>
      <w:r>
        <w:t xml:space="preserve"> </w:t>
      </w:r>
      <w:proofErr w:type="spellStart"/>
      <w:r>
        <w:t>Dja</w:t>
      </w:r>
      <w:proofErr w:type="spellEnd"/>
      <w:r>
        <w:t xml:space="preserve"> Wurrung people can generally camp in parts of </w:t>
      </w:r>
      <w:proofErr w:type="spellStart"/>
      <w:r>
        <w:t>Dja</w:t>
      </w:r>
      <w:proofErr w:type="spellEnd"/>
      <w:r>
        <w:t xml:space="preserve"> </w:t>
      </w:r>
      <w:proofErr w:type="spellStart"/>
      <w:r>
        <w:t>Dja</w:t>
      </w:r>
      <w:proofErr w:type="spellEnd"/>
      <w:r>
        <w:t xml:space="preserve"> Wurrung country for traditional purposes without needing a permit or paying a camping fee. However, if camping is prohibited, you cannot camp in the area under your Traditional Owner rights. You may also need to pay any fee payable to a licensee or lessee if the camping is on leased or licensed land.  Please refer to the discussion of particular land types below.</w:t>
      </w:r>
    </w:p>
    <w:p w:rsidR="00580337" w:rsidRDefault="00580337" w:rsidP="00580337">
      <w:pPr>
        <w:pStyle w:val="Body"/>
      </w:pPr>
      <w:r>
        <w:t>If a permit is required to use or occupy a vehicle or moveable accommodation (like a caravan or campervan), you’ll still need to get that permit.</w:t>
      </w:r>
    </w:p>
    <w:p w:rsidR="00580337" w:rsidRDefault="00580337" w:rsidP="00580337">
      <w:pPr>
        <w:pStyle w:val="Body"/>
      </w:pPr>
      <w:r>
        <w:t xml:space="preserve">If you’re camping with family members or friends who aren’t </w:t>
      </w:r>
      <w:proofErr w:type="spellStart"/>
      <w:r>
        <w:t>Dja</w:t>
      </w:r>
      <w:proofErr w:type="spellEnd"/>
      <w:r>
        <w:t xml:space="preserve"> </w:t>
      </w:r>
      <w:proofErr w:type="spellStart"/>
      <w:r>
        <w:t>Dja</w:t>
      </w:r>
      <w:proofErr w:type="spellEnd"/>
      <w:r>
        <w:t xml:space="preserve"> Wurrung members, they will need to obtain the usual permit.</w:t>
      </w:r>
    </w:p>
    <w:p w:rsidR="00580337" w:rsidRDefault="00580337" w:rsidP="00580337">
      <w:pPr>
        <w:pStyle w:val="Body"/>
      </w:pPr>
      <w:r>
        <w:t xml:space="preserve">If a booking system is established for a particular camping area, you’ll need to use the online or phone booking allocation system to reserve a spot. (There are none in </w:t>
      </w:r>
      <w:proofErr w:type="spellStart"/>
      <w:r>
        <w:t>Dja</w:t>
      </w:r>
      <w:proofErr w:type="spellEnd"/>
      <w:r>
        <w:t xml:space="preserve"> </w:t>
      </w:r>
      <w:proofErr w:type="spellStart"/>
      <w:r>
        <w:t>Dja</w:t>
      </w:r>
      <w:proofErr w:type="spellEnd"/>
      <w:r>
        <w:t xml:space="preserve"> Wurrung country at the time of writing.) And if someone has a permit to camp in a particular place, you cannot camp there.</w:t>
      </w:r>
    </w:p>
    <w:p w:rsidR="00580337" w:rsidRDefault="00580337" w:rsidP="00580337">
      <w:pPr>
        <w:pStyle w:val="Body"/>
      </w:pPr>
      <w:r>
        <w:t xml:space="preserve">You can stay for up to 59 nights in a row in a particular area, unless there’s a shorter limit for camp sites on that type of public land specified in relevant Acts or regulations (for example, 28 nights in State Forests). If a </w:t>
      </w:r>
      <w:r w:rsidRPr="004847BF">
        <w:t>Code Red Fire Day</w:t>
      </w:r>
      <w:r>
        <w:t xml:space="preserve"> is declared, then of course you need to leave the area.</w:t>
      </w:r>
      <w:r w:rsidR="004847BF">
        <w:t xml:space="preserve"> For more information on Code Red Fire Days refer to Closure of Parks and Forests on DEPI website.  </w:t>
      </w:r>
    </w:p>
    <w:p w:rsidR="00580337" w:rsidRDefault="00580337" w:rsidP="00580337">
      <w:pPr>
        <w:pStyle w:val="HB"/>
      </w:pPr>
      <w:r>
        <w:t>National Parks</w:t>
      </w:r>
      <w:r w:rsidR="00CB0976">
        <w:t xml:space="preserve"> and State Parks</w:t>
      </w:r>
    </w:p>
    <w:p w:rsidR="00580337" w:rsidRDefault="00580337" w:rsidP="00580337">
      <w:pPr>
        <w:pStyle w:val="Body"/>
      </w:pPr>
      <w:r>
        <w:t xml:space="preserve">In parks under the National Parks Act 1975, Traditional Owners can generally camp anywhere and for any period of time, so long as you are camping in order to follow an Aboriginal tradition. You’re still encouraged to follow the usual rule of camping at least 20 metres from waterways. While you’re there, you need to follow the usual rules about fires, disposal of human waste, and use of soaps &amp; detergents. </w:t>
      </w:r>
    </w:p>
    <w:p w:rsidR="00580337" w:rsidRDefault="00580337" w:rsidP="00580337">
      <w:pPr>
        <w:pStyle w:val="HB"/>
      </w:pPr>
      <w:r>
        <w:t>Other camping areas</w:t>
      </w:r>
    </w:p>
    <w:p w:rsidR="00580337" w:rsidRDefault="00580337" w:rsidP="00580337">
      <w:pPr>
        <w:pStyle w:val="Body"/>
      </w:pPr>
      <w:r>
        <w:t xml:space="preserve">In all other places within </w:t>
      </w:r>
      <w:proofErr w:type="spellStart"/>
      <w:r>
        <w:t>Dja</w:t>
      </w:r>
      <w:proofErr w:type="spellEnd"/>
      <w:r>
        <w:t xml:space="preserve"> </w:t>
      </w:r>
      <w:proofErr w:type="spellStart"/>
      <w:r>
        <w:t>Dja</w:t>
      </w:r>
      <w:proofErr w:type="spellEnd"/>
      <w:r>
        <w:t xml:space="preserve"> Wurrung country, you need to camp within areas set aside for public camping. That includes marked camp sites, and also “dispersed camping” (bush camping) where the rules of that area of land allow it. </w:t>
      </w:r>
    </w:p>
    <w:p w:rsidR="00D444E8" w:rsidRPr="007429A1" w:rsidRDefault="00580337" w:rsidP="00580337">
      <w:pPr>
        <w:pStyle w:val="Body"/>
      </w:pPr>
      <w:r>
        <w:t xml:space="preserve">Some reserves are managed by a committee of management or a private operator, rather than by </w:t>
      </w:r>
    </w:p>
    <w:p w:rsidR="000242D0" w:rsidRDefault="000242D0" w:rsidP="000242D0">
      <w:pPr>
        <w:pStyle w:val="Body"/>
      </w:pPr>
      <w:r>
        <w:lastRenderedPageBreak/>
        <w:t>Parks Victoria or a local council. In those reserves, the fee exemption doesn’t apply.</w:t>
      </w:r>
    </w:p>
    <w:p w:rsidR="004847BF" w:rsidRDefault="000242D0" w:rsidP="000242D0">
      <w:pPr>
        <w:pStyle w:val="Body"/>
      </w:pPr>
      <w:r>
        <w:t xml:space="preserve">Here is a brief summary of the camping areas within </w:t>
      </w:r>
      <w:proofErr w:type="spellStart"/>
      <w:r>
        <w:t>Dja</w:t>
      </w:r>
      <w:proofErr w:type="spellEnd"/>
      <w:r>
        <w:t xml:space="preserve"> </w:t>
      </w:r>
      <w:proofErr w:type="spellStart"/>
      <w:r>
        <w:t>Dja</w:t>
      </w:r>
      <w:proofErr w:type="spellEnd"/>
      <w:r>
        <w:t xml:space="preserve"> Wurrung country.</w:t>
      </w:r>
    </w:p>
    <w:p w:rsidR="000242D0" w:rsidRDefault="000242D0" w:rsidP="000242D0">
      <w:pPr>
        <w:pStyle w:val="HB"/>
      </w:pPr>
      <w:r>
        <w:t xml:space="preserve">State Forests </w:t>
      </w:r>
    </w:p>
    <w:p w:rsidR="003C6700" w:rsidRDefault="000242D0" w:rsidP="000242D0">
      <w:pPr>
        <w:pStyle w:val="Body"/>
      </w:pPr>
      <w:r>
        <w:t xml:space="preserve">You can camp anywhere that’s more than 20 metres from any dam, bore or waterway, although it’s best to camp on existing camp sites to protect the environment. You can stay for up to 28 consecutive nights. </w:t>
      </w:r>
    </w:p>
    <w:p w:rsidR="000242D0" w:rsidRDefault="000242D0" w:rsidP="000242D0">
      <w:pPr>
        <w:pStyle w:val="Body"/>
      </w:pPr>
      <w:r>
        <w:t xml:space="preserve">For more information, including the minimal impact camping code, see DELWP’s </w:t>
      </w:r>
      <w:r w:rsidR="003C6700">
        <w:t>web page on ‘</w:t>
      </w:r>
      <w:r w:rsidRPr="003C6700">
        <w:rPr>
          <w:i/>
        </w:rPr>
        <w:t>Looking after forests</w:t>
      </w:r>
      <w:r w:rsidR="003C6700" w:rsidRPr="003C6700">
        <w:rPr>
          <w:i/>
        </w:rPr>
        <w:t>’</w:t>
      </w:r>
      <w:r w:rsidRPr="003C6700">
        <w:rPr>
          <w:i/>
        </w:rPr>
        <w:t xml:space="preserve"> </w:t>
      </w:r>
      <w:r>
        <w:t>.</w:t>
      </w:r>
      <w:r>
        <w:rPr>
          <w:sz w:val="24"/>
        </w:rPr>
        <w:t xml:space="preserve"> </w:t>
      </w:r>
    </w:p>
    <w:p w:rsidR="000242D0" w:rsidRDefault="000242D0" w:rsidP="000242D0">
      <w:pPr>
        <w:pStyle w:val="HB"/>
      </w:pPr>
      <w:proofErr w:type="spellStart"/>
      <w:r>
        <w:t>Kooyoora</w:t>
      </w:r>
      <w:proofErr w:type="spellEnd"/>
      <w:r>
        <w:t xml:space="preserve"> State Park</w:t>
      </w:r>
    </w:p>
    <w:p w:rsidR="000242D0" w:rsidRDefault="000242D0" w:rsidP="000242D0">
      <w:pPr>
        <w:pStyle w:val="Body"/>
      </w:pPr>
      <w:r>
        <w:t xml:space="preserve">Melville Caves Camping Area (1 km past the main Melville Caves picnic area - facilities include toilets and wood barbecues) and the </w:t>
      </w:r>
      <w:proofErr w:type="spellStart"/>
      <w:r>
        <w:t>Glenalbyn</w:t>
      </w:r>
      <w:proofErr w:type="spellEnd"/>
      <w:r>
        <w:t xml:space="preserve"> Campground. </w:t>
      </w:r>
    </w:p>
    <w:p w:rsidR="000242D0" w:rsidRDefault="000242D0" w:rsidP="000242D0">
      <w:pPr>
        <w:pStyle w:val="HB"/>
      </w:pPr>
      <w:proofErr w:type="spellStart"/>
      <w:r>
        <w:t>Paddys</w:t>
      </w:r>
      <w:proofErr w:type="spellEnd"/>
      <w:r>
        <w:t xml:space="preserve"> Ranges State Park</w:t>
      </w:r>
    </w:p>
    <w:p w:rsidR="000242D0" w:rsidRDefault="000242D0" w:rsidP="000242D0">
      <w:pPr>
        <w:pStyle w:val="Body"/>
        <w:rPr>
          <w:rFonts w:cstheme="majorBidi"/>
        </w:rPr>
      </w:pPr>
      <w:r>
        <w:t xml:space="preserve">Karri Track camping area has toilets and fireplaces.  It is advisable to contact the ranger to ensure site availability. The camping area has space for up to 16 campsites. </w:t>
      </w:r>
    </w:p>
    <w:p w:rsidR="000242D0" w:rsidRDefault="000242D0" w:rsidP="000242D0">
      <w:pPr>
        <w:pStyle w:val="HB"/>
      </w:pPr>
      <w:r>
        <w:t>Castlemaine Diggings National Heritage Park</w:t>
      </w:r>
    </w:p>
    <w:p w:rsidR="000242D0" w:rsidRDefault="000242D0" w:rsidP="000242D0">
      <w:pPr>
        <w:pStyle w:val="Body"/>
        <w:rPr>
          <w:rFonts w:cstheme="majorBidi"/>
        </w:rPr>
      </w:pPr>
      <w:r>
        <w:t xml:space="preserve">Camp sites at Vaughan Springs, </w:t>
      </w:r>
      <w:proofErr w:type="spellStart"/>
      <w:r>
        <w:t>Warburtons</w:t>
      </w:r>
      <w:proofErr w:type="spellEnd"/>
      <w:r>
        <w:t xml:space="preserve"> Bridge and </w:t>
      </w:r>
      <w:proofErr w:type="spellStart"/>
      <w:r>
        <w:t>Chokem</w:t>
      </w:r>
      <w:proofErr w:type="spellEnd"/>
      <w:r>
        <w:t xml:space="preserve"> Flat Campgrounds. Walk-in dispersed camping is allowed throughout the park and vehicle-based dispersed camping is provided for in the park to the south of the Loddon River, subject to measures to minimise any impacts on the park. </w:t>
      </w:r>
    </w:p>
    <w:p w:rsidR="000242D0" w:rsidRDefault="000242D0" w:rsidP="000242D0">
      <w:pPr>
        <w:pStyle w:val="HB"/>
      </w:pPr>
      <w:r>
        <w:t>Mt Alexander Regional Park</w:t>
      </w:r>
    </w:p>
    <w:p w:rsidR="000242D0" w:rsidRDefault="000242D0" w:rsidP="000242D0">
      <w:pPr>
        <w:pStyle w:val="Body"/>
        <w:rPr>
          <w:rFonts w:cstheme="majorBidi"/>
        </w:rPr>
      </w:pPr>
      <w:r>
        <w:t xml:space="preserve">Dispersed foot based camping is permitted throughout the park. </w:t>
      </w:r>
      <w:r>
        <w:rPr>
          <w:rFonts w:ascii="MS Gothic" w:eastAsia="MS Gothic" w:hAnsi="MS Gothic" w:cs="MS Gothic" w:hint="eastAsia"/>
          <w:lang w:val="en-US"/>
        </w:rPr>
        <w:t>   </w:t>
      </w:r>
      <w:r>
        <w:rPr>
          <w:rFonts w:ascii="MS Gothic" w:eastAsia="MS Gothic" w:hAnsi="MS Gothic" w:cs="MS Gothic" w:hint="eastAsia"/>
          <w:szCs w:val="20"/>
          <w:lang w:val="en-US"/>
        </w:rPr>
        <w:t> </w:t>
      </w:r>
    </w:p>
    <w:p w:rsidR="000242D0" w:rsidRDefault="000242D0" w:rsidP="000242D0">
      <w:pPr>
        <w:pStyle w:val="HB"/>
      </w:pPr>
      <w:r>
        <w:t>Hepburn Regional Park</w:t>
      </w:r>
    </w:p>
    <w:p w:rsidR="000242D0" w:rsidRDefault="000242D0" w:rsidP="000242D0">
      <w:pPr>
        <w:pStyle w:val="Body"/>
        <w:rPr>
          <w:rFonts w:cstheme="majorBidi"/>
        </w:rPr>
      </w:pPr>
      <w:r>
        <w:t xml:space="preserve">Camp at Mt Franklin (which is also suitable for caravans and motor homes) on a first come first served basis.  Toilets, fireplaces and washing water are provided. </w:t>
      </w:r>
    </w:p>
    <w:p w:rsidR="000242D0" w:rsidRDefault="000242D0" w:rsidP="000242D0">
      <w:pPr>
        <w:pStyle w:val="HB"/>
      </w:pPr>
      <w:r>
        <w:lastRenderedPageBreak/>
        <w:t>Creswick Regional Park</w:t>
      </w:r>
    </w:p>
    <w:p w:rsidR="000242D0" w:rsidRDefault="000242D0" w:rsidP="000242D0">
      <w:pPr>
        <w:pStyle w:val="Body"/>
        <w:rPr>
          <w:rFonts w:cstheme="majorBidi"/>
        </w:rPr>
      </w:pPr>
      <w:r>
        <w:t xml:space="preserve">Camp at Slaty Creek Picnic Areas 1, 2 &amp; 3. </w:t>
      </w:r>
    </w:p>
    <w:p w:rsidR="000242D0" w:rsidRDefault="000242D0" w:rsidP="000242D0">
      <w:pPr>
        <w:pStyle w:val="HB"/>
      </w:pPr>
      <w:r>
        <w:t>Nature Conservation Reserves</w:t>
      </w:r>
    </w:p>
    <w:p w:rsidR="000242D0" w:rsidRDefault="000242D0" w:rsidP="000242D0">
      <w:pPr>
        <w:pStyle w:val="Body"/>
      </w:pPr>
      <w:r>
        <w:t xml:space="preserve">Dispersed camping is generally not permitted, but you can camp in: </w:t>
      </w:r>
    </w:p>
    <w:p w:rsidR="000242D0" w:rsidRDefault="000242D0" w:rsidP="000242D0">
      <w:pPr>
        <w:pStyle w:val="Body"/>
      </w:pPr>
      <w:proofErr w:type="spellStart"/>
      <w:r>
        <w:t>Dalyenong</w:t>
      </w:r>
      <w:proofErr w:type="spellEnd"/>
      <w:r>
        <w:t>, Inglewood, Stuart Mill, Waanyarra and Wychitella Nature Conservation Reserves; and</w:t>
      </w:r>
    </w:p>
    <w:p w:rsidR="000242D0" w:rsidRDefault="000242D0" w:rsidP="000242D0">
      <w:pPr>
        <w:pStyle w:val="Body"/>
      </w:pPr>
      <w:r>
        <w:t xml:space="preserve">Box-Ironbark Nature Conservation Reserves (designated site or dispersed camping in appropriate locations in larger reserves where this will not adversely affect the biodiversity values of the reserve).   </w:t>
      </w:r>
    </w:p>
    <w:p w:rsidR="000242D0" w:rsidRDefault="000242D0" w:rsidP="000242D0">
      <w:pPr>
        <w:pStyle w:val="HB"/>
      </w:pPr>
      <w:r>
        <w:t>Historical and Cultural Features Reserves</w:t>
      </w:r>
    </w:p>
    <w:p w:rsidR="000242D0" w:rsidRDefault="000242D0" w:rsidP="000242D0">
      <w:pPr>
        <w:pStyle w:val="Body"/>
      </w:pPr>
      <w:r>
        <w:t xml:space="preserve">Dispersed camping is generally permitted. </w:t>
      </w:r>
      <w:r>
        <w:rPr>
          <w:rFonts w:ascii="MS Gothic" w:eastAsia="MS Gothic" w:hAnsi="MS Gothic" w:cs="MS Gothic" w:hint="eastAsia"/>
          <w:lang w:val="en-US"/>
        </w:rPr>
        <w:t>  </w:t>
      </w:r>
    </w:p>
    <w:p w:rsidR="000242D0" w:rsidRDefault="000242D0" w:rsidP="000242D0">
      <w:pPr>
        <w:pStyle w:val="HB"/>
      </w:pPr>
      <w:r>
        <w:t>Natural Features Reserves</w:t>
      </w:r>
    </w:p>
    <w:p w:rsidR="000242D0" w:rsidRDefault="000242D0" w:rsidP="007429A1">
      <w:pPr>
        <w:pStyle w:val="Body"/>
      </w:pPr>
      <w:r>
        <w:t>Dispersed camping is permitted in individual reserves where specified.</w:t>
      </w:r>
    </w:p>
    <w:p w:rsidR="00744FC9" w:rsidRDefault="007A16F3" w:rsidP="0046794B">
      <w:pPr>
        <w:pStyle w:val="HA"/>
        <w:rPr>
          <w:rFonts w:eastAsia="Calibri"/>
        </w:rPr>
      </w:pPr>
      <w:r>
        <w:rPr>
          <w:rFonts w:eastAsia="Calibri"/>
        </w:rPr>
        <w:t>Web</w:t>
      </w:r>
      <w:r w:rsidR="0097079E">
        <w:rPr>
          <w:rFonts w:eastAsia="Calibri"/>
        </w:rPr>
        <w:t xml:space="preserve"> l</w:t>
      </w:r>
      <w:r>
        <w:rPr>
          <w:rFonts w:eastAsia="Calibri"/>
        </w:rPr>
        <w:t>inks and m</w:t>
      </w:r>
      <w:r w:rsidR="00744FC9">
        <w:rPr>
          <w:rFonts w:eastAsia="Calibri"/>
        </w:rPr>
        <w:t xml:space="preserve">ore information </w:t>
      </w:r>
    </w:p>
    <w:p w:rsidR="00D210BF" w:rsidRDefault="00D210BF" w:rsidP="00D210BF">
      <w:pPr>
        <w:pStyle w:val="Body"/>
      </w:pPr>
      <w:r>
        <w:t xml:space="preserve">Further details on each camping area are available from the </w:t>
      </w:r>
      <w:r w:rsidRPr="004847BF">
        <w:t>Parks Victoria</w:t>
      </w:r>
      <w:r>
        <w:t xml:space="preserve"> and DELWP websites. </w:t>
      </w:r>
    </w:p>
    <w:p w:rsidR="007A16F3" w:rsidRDefault="007A16F3" w:rsidP="007A16F3">
      <w:pPr>
        <w:pStyle w:val="HB"/>
      </w:pPr>
      <w:r>
        <w:t>Find a park</w:t>
      </w:r>
    </w:p>
    <w:p w:rsidR="007A16F3" w:rsidRPr="00744FC9" w:rsidRDefault="000F07EC" w:rsidP="007A16F3">
      <w:pPr>
        <w:pStyle w:val="Body"/>
      </w:pPr>
      <w:hyperlink r:id="rId9" w:history="1">
        <w:r w:rsidR="007A16F3" w:rsidRPr="00744FC9">
          <w:rPr>
            <w:rStyle w:val="Hyperlink"/>
            <w:color w:val="auto"/>
            <w:u w:val="none"/>
          </w:rPr>
          <w:t>http://parkweb.vic.gov.au/explore/find-a-park</w:t>
        </w:r>
      </w:hyperlink>
    </w:p>
    <w:p w:rsidR="007A16F3" w:rsidRDefault="007A16F3" w:rsidP="007A16F3">
      <w:pPr>
        <w:pStyle w:val="HB"/>
      </w:pPr>
      <w:r>
        <w:t>Camping areas</w:t>
      </w:r>
    </w:p>
    <w:p w:rsidR="007A16F3" w:rsidRPr="00744FC9" w:rsidRDefault="000F07EC" w:rsidP="007A16F3">
      <w:pPr>
        <w:pStyle w:val="Body"/>
      </w:pPr>
      <w:hyperlink r:id="rId10" w:history="1">
        <w:r w:rsidR="007A16F3" w:rsidRPr="00744FC9">
          <w:rPr>
            <w:rStyle w:val="Hyperlink"/>
            <w:color w:val="auto"/>
            <w:u w:val="none"/>
          </w:rPr>
          <w:t>http://www.depi.vic.gov.au/forestry-and-land-use/visiting-parks-and-forests/visiting-state-forests/places-to-visit/bendigo-places-to-visit</w:t>
        </w:r>
      </w:hyperlink>
    </w:p>
    <w:p w:rsidR="007A16F3" w:rsidRDefault="007A16F3" w:rsidP="007A16F3">
      <w:pPr>
        <w:pStyle w:val="HB"/>
      </w:pPr>
      <w:r>
        <w:t>Looking after forests</w:t>
      </w:r>
    </w:p>
    <w:p w:rsidR="007A16F3" w:rsidRPr="00744FC9" w:rsidRDefault="000F07EC" w:rsidP="007A16F3">
      <w:pPr>
        <w:pStyle w:val="Body"/>
      </w:pPr>
      <w:hyperlink r:id="rId11" w:history="1">
        <w:r w:rsidR="007A16F3" w:rsidRPr="00744FC9">
          <w:rPr>
            <w:rStyle w:val="Hyperlink"/>
            <w:color w:val="auto"/>
            <w:u w:val="none"/>
          </w:rPr>
          <w:t>http://www.depi.vic.gov.au/forestry-and-land-use/visiting-parks-and-forests/visiting-state-forests/looking-after-forests</w:t>
        </w:r>
      </w:hyperlink>
    </w:p>
    <w:p w:rsidR="007A16F3" w:rsidRDefault="007A16F3" w:rsidP="00D210BF">
      <w:pPr>
        <w:pStyle w:val="HB"/>
      </w:pPr>
    </w:p>
    <w:p w:rsidR="00744FC9" w:rsidRDefault="00744FC9" w:rsidP="00D210BF">
      <w:pPr>
        <w:pStyle w:val="HB"/>
      </w:pPr>
      <w:proofErr w:type="spellStart"/>
      <w:r w:rsidRPr="00B63A5F">
        <w:lastRenderedPageBreak/>
        <w:t>Dja</w:t>
      </w:r>
      <w:proofErr w:type="spellEnd"/>
      <w:r w:rsidRPr="00B63A5F">
        <w:t xml:space="preserve"> </w:t>
      </w:r>
      <w:proofErr w:type="spellStart"/>
      <w:r w:rsidRPr="00B63A5F">
        <w:t>Dja</w:t>
      </w:r>
      <w:proofErr w:type="spellEnd"/>
      <w:r w:rsidRPr="00B63A5F">
        <w:t xml:space="preserve"> Wurrung Recognition and Settlement Agreement (2013)</w:t>
      </w:r>
    </w:p>
    <w:p w:rsidR="00744FC9" w:rsidRPr="00B63A5F" w:rsidRDefault="000F07EC" w:rsidP="007A16F3">
      <w:pPr>
        <w:pStyle w:val="Body"/>
      </w:pPr>
      <w:hyperlink r:id="rId12" w:history="1">
        <w:r w:rsidR="00744FC9" w:rsidRPr="00B63A5F">
          <w:rPr>
            <w:rStyle w:val="Hyperlink"/>
            <w:color w:val="auto"/>
            <w:u w:val="none"/>
          </w:rPr>
          <w:t>http://www.justice.vic.gov.au/home/your+rights/native+title/dja+dja+wurrung+settlement+commences</w:t>
        </w:r>
      </w:hyperlink>
    </w:p>
    <w:p w:rsidR="00744FC9" w:rsidRDefault="00744FC9" w:rsidP="00D210BF">
      <w:pPr>
        <w:pStyle w:val="HB"/>
      </w:pPr>
      <w:r w:rsidRPr="00B63A5F">
        <w:t>Authorisation Orders</w:t>
      </w:r>
    </w:p>
    <w:p w:rsidR="00744FC9" w:rsidRPr="00B63A5F" w:rsidRDefault="00744FC9" w:rsidP="00744FC9">
      <w:pPr>
        <w:pStyle w:val="Body"/>
      </w:pPr>
      <w:r w:rsidRPr="00B63A5F">
        <w:t>http://www.gazette.vic.gov.au/gazette/Gazettes2014/GG2014S354.pdf</w:t>
      </w:r>
    </w:p>
    <w:p w:rsidR="00744FC9" w:rsidRPr="00B63A5F" w:rsidRDefault="00744FC9" w:rsidP="00D210BF">
      <w:pPr>
        <w:pStyle w:val="HB"/>
      </w:pPr>
      <w:r w:rsidRPr="00B63A5F">
        <w:t>Map of Settlement Area</w:t>
      </w:r>
    </w:p>
    <w:p w:rsidR="00744FC9" w:rsidRPr="00744FC9" w:rsidRDefault="000F07EC" w:rsidP="00744FC9">
      <w:pPr>
        <w:pStyle w:val="Body"/>
      </w:pPr>
      <w:hyperlink r:id="rId13" w:history="1">
        <w:r w:rsidR="00744FC9" w:rsidRPr="00744FC9">
          <w:t>http://www.djadjawurrung.com.au/maps</w:t>
        </w:r>
      </w:hyperlink>
    </w:p>
    <w:p w:rsidR="00744FC9" w:rsidRDefault="00744FC9" w:rsidP="00D210BF">
      <w:pPr>
        <w:pStyle w:val="HB"/>
      </w:pPr>
      <w:proofErr w:type="spellStart"/>
      <w:r>
        <w:t>Dja</w:t>
      </w:r>
      <w:proofErr w:type="spellEnd"/>
      <w:r>
        <w:t xml:space="preserve"> </w:t>
      </w:r>
      <w:proofErr w:type="spellStart"/>
      <w:r>
        <w:t>Dja</w:t>
      </w:r>
      <w:proofErr w:type="spellEnd"/>
      <w:r>
        <w:t xml:space="preserve"> Wurrung </w:t>
      </w:r>
      <w:r w:rsidR="000F07EC">
        <w:t xml:space="preserve">Clans Aboriginal Corporation </w:t>
      </w:r>
      <w:bookmarkStart w:id="1" w:name="_GoBack"/>
      <w:bookmarkEnd w:id="1"/>
      <w:r>
        <w:t>Contact Details</w:t>
      </w:r>
    </w:p>
    <w:p w:rsidR="00744FC9" w:rsidRPr="00744FC9" w:rsidRDefault="000F07EC" w:rsidP="00744FC9">
      <w:pPr>
        <w:pStyle w:val="Body"/>
      </w:pPr>
      <w:hyperlink r:id="rId14" w:history="1">
        <w:r w:rsidR="00744FC9" w:rsidRPr="00744FC9">
          <w:t>http://www.djadjawurrung.com.au/contact-us</w:t>
        </w:r>
      </w:hyperlink>
    </w:p>
    <w:p w:rsidR="00744FC9" w:rsidRPr="00B63A5F" w:rsidRDefault="00744FC9" w:rsidP="00FA2234">
      <w:pPr>
        <w:pStyle w:val="Body"/>
      </w:pPr>
      <w:r>
        <w:t>5444 2888</w:t>
      </w: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FA2234" w:rsidP="007429A1">
      <w:pPr>
        <w:pStyle w:val="Body"/>
      </w:pPr>
      <w:r>
        <w:rPr>
          <w:rFonts w:eastAsia="Calibri"/>
          <w:noProof/>
          <w:lang w:eastAsia="en-AU"/>
        </w:rPr>
        <mc:AlternateContent>
          <mc:Choice Requires="wps">
            <w:drawing>
              <wp:anchor distT="0" distB="0" distL="114300" distR="114300" simplePos="0" relativeHeight="251659264" behindDoc="0" locked="0" layoutInCell="1" allowOverlap="1" wp14:anchorId="40F76835" wp14:editId="6E657D5C">
                <wp:simplePos x="0" y="0"/>
                <wp:positionH relativeFrom="column">
                  <wp:posOffset>-269240</wp:posOffset>
                </wp:positionH>
                <wp:positionV relativeFrom="paragraph">
                  <wp:posOffset>135577</wp:posOffset>
                </wp:positionV>
                <wp:extent cx="6682740" cy="2538484"/>
                <wp:effectExtent l="0" t="0" r="22860" b="14605"/>
                <wp:wrapNone/>
                <wp:docPr id="5" name="Text Box 5"/>
                <wp:cNvGraphicFramePr/>
                <a:graphic xmlns:a="http://schemas.openxmlformats.org/drawingml/2006/main">
                  <a:graphicData uri="http://schemas.microsoft.com/office/word/2010/wordprocessingShape">
                    <wps:wsp>
                      <wps:cNvSpPr txBox="1"/>
                      <wps:spPr>
                        <a:xfrm>
                          <a:off x="0" y="0"/>
                          <a:ext cx="6682740" cy="2538484"/>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9A2885" w:rsidRPr="0072604A" w:rsidTr="008157DC">
                              <w:trPr>
                                <w:trHeight w:val="2241"/>
                              </w:trPr>
                              <w:tc>
                                <w:tcPr>
                                  <w:tcW w:w="5228" w:type="dxa"/>
                                  <w:shd w:val="clear" w:color="auto" w:fill="auto"/>
                                </w:tcPr>
                                <w:p w:rsidR="009A2885" w:rsidRPr="00BE2F5F" w:rsidRDefault="009A2885" w:rsidP="008157DC">
                                  <w:pPr>
                                    <w:pStyle w:val="ImprintText"/>
                                  </w:pPr>
                                  <w:r w:rsidRPr="00BE2F5F">
                                    <w:t xml:space="preserve">© The State of Victoria Department of Environment, Land, Water and </w:t>
                                  </w:r>
                                  <w:r w:rsidRPr="00BE2F5F">
                                    <w:br/>
                                    <w:t>Planning 2015</w:t>
                                  </w:r>
                                </w:p>
                                <w:p w:rsidR="009A2885" w:rsidRPr="00BE2F5F" w:rsidRDefault="009A2885" w:rsidP="008157DC">
                                  <w:pPr>
                                    <w:pStyle w:val="ImprintText"/>
                                  </w:pPr>
                                  <w:r w:rsidRPr="00BE2F5F">
                                    <w:rPr>
                                      <w:noProof/>
                                      <w:lang w:eastAsia="en-AU"/>
                                    </w:rPr>
                                    <w:drawing>
                                      <wp:inline distT="0" distB="0" distL="0" distR="0" wp14:anchorId="288649EA" wp14:editId="42CE6DD3">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6"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7" w:history="1">
                                    <w:r w:rsidRPr="00BE2F5F">
                                      <w:rPr>
                                        <w:rStyle w:val="Hyperlink"/>
                                        <w:color w:val="auto"/>
                                        <w:u w:val="none"/>
                                      </w:rPr>
                                      <w:t>http://creativecommons.org/licenses/by/4.0/</w:t>
                                    </w:r>
                                  </w:hyperlink>
                                </w:p>
                                <w:p w:rsidR="00CD7FC7" w:rsidRDefault="00CD7FC7" w:rsidP="00CD7FC7">
                                  <w:pPr>
                                    <w:pStyle w:val="ImprintText"/>
                                    <w:rPr>
                                      <w:szCs w:val="16"/>
                                    </w:rPr>
                                  </w:pPr>
                                  <w:r>
                                    <w:rPr>
                                      <w:rFonts w:cs="Calibri"/>
                                      <w:b/>
                                      <w:bCs/>
                                      <w:color w:val="000000"/>
                                      <w:szCs w:val="16"/>
                                      <w:lang w:eastAsia="en-AU"/>
                                    </w:rPr>
                                    <w:t>ISBN 978-1-74146-774-1 (pdf)</w:t>
                                  </w:r>
                                </w:p>
                                <w:p w:rsidR="009A2885" w:rsidRPr="00BE2F5F" w:rsidRDefault="009A2885"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BE2F5F" w:rsidRDefault="00BE2F5F" w:rsidP="008157DC">
                                  <w:pPr>
                                    <w:pStyle w:val="ImprintText"/>
                                    <w:rPr>
                                      <w:sz w:val="28"/>
                                      <w:szCs w:val="28"/>
                                    </w:rPr>
                                  </w:pPr>
                                  <w:r w:rsidRPr="00750DFC">
                                    <w:rPr>
                                      <w:b/>
                                      <w:bCs/>
                                      <w:sz w:val="28"/>
                                      <w:szCs w:val="28"/>
                                    </w:rPr>
                                    <w:t>Accessibility</w:t>
                                  </w:r>
                                </w:p>
                                <w:p w:rsidR="009A2885" w:rsidRPr="00BE2F5F" w:rsidRDefault="009A2885" w:rsidP="00580337">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8" w:history="1">
                                    <w:r w:rsidRPr="00BE2F5F">
                                      <w:rPr>
                                        <w:sz w:val="28"/>
                                        <w:szCs w:val="28"/>
                                      </w:rPr>
                                      <w:t>customer.service@delwp.vic.gov.au</w:t>
                                    </w:r>
                                  </w:hyperlink>
                                  <w:r w:rsidRPr="00BE2F5F">
                                    <w:rPr>
                                      <w:sz w:val="28"/>
                                      <w:szCs w:val="28"/>
                                    </w:rPr>
                                    <w:t xml:space="preserve">, via the National Relay Service on 133 677 </w:t>
                                  </w:r>
                                  <w:hyperlink r:id="rId19" w:history="1">
                                    <w:r w:rsidRPr="00BE2F5F">
                                      <w:rPr>
                                        <w:sz w:val="28"/>
                                        <w:szCs w:val="28"/>
                                      </w:rPr>
                                      <w:t>www.relayservice.com.au</w:t>
                                    </w:r>
                                  </w:hyperlink>
                                  <w:r w:rsidRPr="00BE2F5F">
                                    <w:rPr>
                                      <w:sz w:val="28"/>
                                      <w:szCs w:val="28"/>
                                    </w:rPr>
                                    <w:t xml:space="preserve">. This document is also available on the internet at </w:t>
                                  </w:r>
                                  <w:hyperlink r:id="rId20" w:history="1">
                                    <w:r w:rsidRPr="00BE2F5F">
                                      <w:rPr>
                                        <w:sz w:val="28"/>
                                        <w:szCs w:val="28"/>
                                      </w:rPr>
                                      <w:t>www.delwp.vic.gov.au</w:t>
                                    </w:r>
                                  </w:hyperlink>
                                  <w:r w:rsidRPr="00BE2F5F">
                                    <w:rPr>
                                      <w:sz w:val="28"/>
                                      <w:szCs w:val="28"/>
                                    </w:rPr>
                                    <w:br/>
                                  </w:r>
                                  <w:r w:rsidRPr="00BE2F5F">
                                    <w:rPr>
                                      <w:b/>
                                      <w:bCs/>
                                      <w:sz w:val="28"/>
                                      <w:szCs w:val="28"/>
                                    </w:rPr>
                                    <w:br/>
                                  </w:r>
                                </w:p>
                              </w:tc>
                            </w:tr>
                          </w:tbl>
                          <w:p w:rsidR="009A2885" w:rsidRDefault="009A2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1.2pt;margin-top:10.7pt;width:526.2pt;height:19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" fillcolor="white [3201]" strokecolor="#bfbfbf [2412]" strokeweight=".5pt">
                <v:textbox>
                  <w:txbxContent>
                    <w:tbl>
                      <w:tblPr>
                        <w:tblW w:w="10456" w:type="dxa"/>
                        <w:tblLook w:val="01E0" w:firstRow="1" w:lastRow="1" w:firstColumn="1" w:lastColumn="1" w:noHBand="0" w:noVBand="0"/>
                      </w:tblPr>
                      <w:tblGrid>
                        <w:gridCol w:w="5228"/>
                        <w:gridCol w:w="5228"/>
                      </w:tblGrid>
                      <w:tr w:rsidR="009A2885" w:rsidRPr="0072604A" w:rsidTr="008157DC">
                        <w:trPr>
                          <w:trHeight w:val="2241"/>
                        </w:trPr>
                        <w:tc>
                          <w:tcPr>
                            <w:tcW w:w="5228" w:type="dxa"/>
                            <w:shd w:val="clear" w:color="auto" w:fill="auto"/>
                          </w:tcPr>
                          <w:p w:rsidR="009A2885" w:rsidRPr="00BE2F5F" w:rsidRDefault="009A2885" w:rsidP="008157DC">
                            <w:pPr>
                              <w:pStyle w:val="ImprintText"/>
                            </w:pPr>
                            <w:r w:rsidRPr="00BE2F5F">
                              <w:t xml:space="preserve">© The State of Victoria Department of Environment, Land, Water and </w:t>
                            </w:r>
                            <w:r w:rsidRPr="00BE2F5F">
                              <w:br/>
                              <w:t>Planning 2015</w:t>
                            </w:r>
                          </w:p>
                          <w:p w:rsidR="009A2885" w:rsidRPr="00BE2F5F" w:rsidRDefault="009A2885" w:rsidP="008157DC">
                            <w:pPr>
                              <w:pStyle w:val="ImprintText"/>
                            </w:pPr>
                            <w:r w:rsidRPr="00BE2F5F">
                              <w:rPr>
                                <w:noProof/>
                                <w:lang w:eastAsia="en-AU"/>
                              </w:rPr>
                              <w:drawing>
                                <wp:inline distT="0" distB="0" distL="0" distR="0" wp14:anchorId="288649EA" wp14:editId="42CE6DD3">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1"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2" w:history="1">
                              <w:r w:rsidRPr="00BE2F5F">
                                <w:rPr>
                                  <w:rStyle w:val="Hyperlink"/>
                                  <w:color w:val="auto"/>
                                  <w:u w:val="none"/>
                                </w:rPr>
                                <w:t>http://creativecommons.org/licenses/by/4.0/</w:t>
                              </w:r>
                            </w:hyperlink>
                          </w:p>
                          <w:p w:rsidR="00CD7FC7" w:rsidRDefault="00CD7FC7" w:rsidP="00CD7FC7">
                            <w:pPr>
                              <w:pStyle w:val="ImprintText"/>
                              <w:rPr>
                                <w:szCs w:val="16"/>
                              </w:rPr>
                            </w:pPr>
                            <w:r>
                              <w:rPr>
                                <w:rFonts w:cs="Calibri"/>
                                <w:b/>
                                <w:bCs/>
                                <w:color w:val="000000"/>
                                <w:szCs w:val="16"/>
                                <w:lang w:eastAsia="en-AU"/>
                              </w:rPr>
                              <w:t>ISBN 978-1-74146-774-1 (pdf)</w:t>
                            </w:r>
                          </w:p>
                          <w:p w:rsidR="009A2885" w:rsidRPr="00BE2F5F" w:rsidRDefault="009A2885"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BE2F5F" w:rsidRDefault="00BE2F5F" w:rsidP="008157DC">
                            <w:pPr>
                              <w:pStyle w:val="ImprintText"/>
                              <w:rPr>
                                <w:sz w:val="28"/>
                                <w:szCs w:val="28"/>
                              </w:rPr>
                            </w:pPr>
                            <w:r w:rsidRPr="00750DFC">
                              <w:rPr>
                                <w:b/>
                                <w:bCs/>
                                <w:sz w:val="28"/>
                                <w:szCs w:val="28"/>
                              </w:rPr>
                              <w:t>Accessibility</w:t>
                            </w:r>
                          </w:p>
                          <w:p w:rsidR="009A2885" w:rsidRPr="00BE2F5F" w:rsidRDefault="009A2885" w:rsidP="00580337">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3" w:history="1">
                              <w:r w:rsidRPr="00BE2F5F">
                                <w:rPr>
                                  <w:sz w:val="28"/>
                                  <w:szCs w:val="28"/>
                                </w:rPr>
                                <w:t>customer.service@delwp.vic.gov.au</w:t>
                              </w:r>
                            </w:hyperlink>
                            <w:r w:rsidRPr="00BE2F5F">
                              <w:rPr>
                                <w:sz w:val="28"/>
                                <w:szCs w:val="28"/>
                              </w:rPr>
                              <w:t xml:space="preserve">, via the National Relay Service on 133 677 </w:t>
                            </w:r>
                            <w:hyperlink r:id="rId24" w:history="1">
                              <w:r w:rsidRPr="00BE2F5F">
                                <w:rPr>
                                  <w:sz w:val="28"/>
                                  <w:szCs w:val="28"/>
                                </w:rPr>
                                <w:t>www.relayservice.com.au</w:t>
                              </w:r>
                            </w:hyperlink>
                            <w:r w:rsidRPr="00BE2F5F">
                              <w:rPr>
                                <w:sz w:val="28"/>
                                <w:szCs w:val="28"/>
                              </w:rPr>
                              <w:t xml:space="preserve">. This document is also available on the internet at </w:t>
                            </w:r>
                            <w:hyperlink r:id="rId25" w:history="1">
                              <w:r w:rsidRPr="00BE2F5F">
                                <w:rPr>
                                  <w:sz w:val="28"/>
                                  <w:szCs w:val="28"/>
                                </w:rPr>
                                <w:t>www.delwp.vic.gov.au</w:t>
                              </w:r>
                            </w:hyperlink>
                            <w:r w:rsidRPr="00BE2F5F">
                              <w:rPr>
                                <w:sz w:val="28"/>
                                <w:szCs w:val="28"/>
                              </w:rPr>
                              <w:br/>
                            </w:r>
                            <w:r w:rsidRPr="00BE2F5F">
                              <w:rPr>
                                <w:b/>
                                <w:bCs/>
                                <w:sz w:val="28"/>
                                <w:szCs w:val="28"/>
                              </w:rPr>
                              <w:br/>
                            </w:r>
                          </w:p>
                        </w:tc>
                      </w:tr>
                    </w:tbl>
                    <w:p w:rsidR="009A2885" w:rsidRDefault="009A2885"/>
                  </w:txbxContent>
                </v:textbox>
              </v:shape>
            </w:pict>
          </mc:Fallback>
        </mc:AlternateContent>
      </w: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Default="000242D0" w:rsidP="007429A1">
      <w:pPr>
        <w:pStyle w:val="Body"/>
      </w:pPr>
    </w:p>
    <w:p w:rsidR="000242D0" w:rsidRPr="0079489C" w:rsidRDefault="000242D0" w:rsidP="007429A1">
      <w:pPr>
        <w:pStyle w:val="Body"/>
      </w:pPr>
    </w:p>
    <w:sectPr w:rsidR="000242D0" w:rsidRPr="0079489C" w:rsidSect="009A2885">
      <w:headerReference w:type="default" r:id="rId26"/>
      <w:footerReference w:type="default" r:id="rId27"/>
      <w:headerReference w:type="first" r:id="rId28"/>
      <w:footerReference w:type="first" r:id="rId29"/>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72604A" w:rsidRDefault="002015AD"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simplePos x="0" y="0"/>
          <wp:positionH relativeFrom="column">
            <wp:posOffset>4328519</wp:posOffset>
          </wp:positionH>
          <wp:positionV relativeFrom="paragraph">
            <wp:posOffset>30414</wp:posOffset>
          </wp:positionV>
          <wp:extent cx="1861200" cy="5400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6DC86651" wp14:editId="3C0A2BB6">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580337" w:rsidP="00B87CF6">
          <w:pPr>
            <w:pStyle w:val="CertHDWhite"/>
            <w:tabs>
              <w:tab w:val="left" w:pos="7513"/>
            </w:tabs>
          </w:pPr>
          <w:r>
            <w:t>Camping</w:t>
          </w:r>
          <w:r w:rsidR="00DD72C7">
            <w:t xml:space="preserve"> Rights</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84C3BE0" wp14:editId="4FA1E3BB">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242D0"/>
    <w:rsid w:val="0003050C"/>
    <w:rsid w:val="00034D96"/>
    <w:rsid w:val="0003535F"/>
    <w:rsid w:val="0004692B"/>
    <w:rsid w:val="00055FEF"/>
    <w:rsid w:val="00063E31"/>
    <w:rsid w:val="0008754B"/>
    <w:rsid w:val="00091E87"/>
    <w:rsid w:val="0009699E"/>
    <w:rsid w:val="000C3259"/>
    <w:rsid w:val="000C39E4"/>
    <w:rsid w:val="000D7221"/>
    <w:rsid w:val="000F07EC"/>
    <w:rsid w:val="00120C40"/>
    <w:rsid w:val="00120F3F"/>
    <w:rsid w:val="00124D70"/>
    <w:rsid w:val="00125376"/>
    <w:rsid w:val="00135491"/>
    <w:rsid w:val="00154577"/>
    <w:rsid w:val="00177115"/>
    <w:rsid w:val="00181FBC"/>
    <w:rsid w:val="001A243B"/>
    <w:rsid w:val="001C3014"/>
    <w:rsid w:val="001E2024"/>
    <w:rsid w:val="002015AD"/>
    <w:rsid w:val="0020255B"/>
    <w:rsid w:val="002122D2"/>
    <w:rsid w:val="00217D52"/>
    <w:rsid w:val="00236DA4"/>
    <w:rsid w:val="00246D68"/>
    <w:rsid w:val="002526EA"/>
    <w:rsid w:val="002611D9"/>
    <w:rsid w:val="00261DCB"/>
    <w:rsid w:val="00271B91"/>
    <w:rsid w:val="00285925"/>
    <w:rsid w:val="002B696E"/>
    <w:rsid w:val="002C12E4"/>
    <w:rsid w:val="002C4BC3"/>
    <w:rsid w:val="002C5BA2"/>
    <w:rsid w:val="002D3CC8"/>
    <w:rsid w:val="002D680B"/>
    <w:rsid w:val="002E2EC1"/>
    <w:rsid w:val="00321F9E"/>
    <w:rsid w:val="00330679"/>
    <w:rsid w:val="003C2962"/>
    <w:rsid w:val="003C6700"/>
    <w:rsid w:val="003E0B9A"/>
    <w:rsid w:val="003F437F"/>
    <w:rsid w:val="003F5A5C"/>
    <w:rsid w:val="00404EF3"/>
    <w:rsid w:val="0043348E"/>
    <w:rsid w:val="004426E1"/>
    <w:rsid w:val="00455AC0"/>
    <w:rsid w:val="0046794B"/>
    <w:rsid w:val="0047538B"/>
    <w:rsid w:val="004847BF"/>
    <w:rsid w:val="004969C1"/>
    <w:rsid w:val="004E4BDF"/>
    <w:rsid w:val="004E6888"/>
    <w:rsid w:val="0050769F"/>
    <w:rsid w:val="00512102"/>
    <w:rsid w:val="005229C6"/>
    <w:rsid w:val="00524C52"/>
    <w:rsid w:val="005304F7"/>
    <w:rsid w:val="00530A78"/>
    <w:rsid w:val="00534B38"/>
    <w:rsid w:val="00540762"/>
    <w:rsid w:val="00544B68"/>
    <w:rsid w:val="00557AFB"/>
    <w:rsid w:val="00557B17"/>
    <w:rsid w:val="00573E23"/>
    <w:rsid w:val="00575F3A"/>
    <w:rsid w:val="00580337"/>
    <w:rsid w:val="00582724"/>
    <w:rsid w:val="005B3CE8"/>
    <w:rsid w:val="005E3342"/>
    <w:rsid w:val="00603134"/>
    <w:rsid w:val="00606451"/>
    <w:rsid w:val="00616077"/>
    <w:rsid w:val="00623482"/>
    <w:rsid w:val="006322A4"/>
    <w:rsid w:val="00644C88"/>
    <w:rsid w:val="00656186"/>
    <w:rsid w:val="006741C5"/>
    <w:rsid w:val="006750E0"/>
    <w:rsid w:val="00675636"/>
    <w:rsid w:val="006B4688"/>
    <w:rsid w:val="006F53DB"/>
    <w:rsid w:val="006F707D"/>
    <w:rsid w:val="0070362A"/>
    <w:rsid w:val="0072604A"/>
    <w:rsid w:val="00731631"/>
    <w:rsid w:val="007429A1"/>
    <w:rsid w:val="00744FC9"/>
    <w:rsid w:val="00752E36"/>
    <w:rsid w:val="00756A07"/>
    <w:rsid w:val="007702BD"/>
    <w:rsid w:val="0079021A"/>
    <w:rsid w:val="0079489C"/>
    <w:rsid w:val="007A16F3"/>
    <w:rsid w:val="007B0E45"/>
    <w:rsid w:val="007B1469"/>
    <w:rsid w:val="007B62F8"/>
    <w:rsid w:val="007B6E26"/>
    <w:rsid w:val="007E3E33"/>
    <w:rsid w:val="007F5211"/>
    <w:rsid w:val="00824C60"/>
    <w:rsid w:val="0083541B"/>
    <w:rsid w:val="00865A63"/>
    <w:rsid w:val="00872BAF"/>
    <w:rsid w:val="008732EE"/>
    <w:rsid w:val="008832F9"/>
    <w:rsid w:val="008A3B87"/>
    <w:rsid w:val="008A6BBA"/>
    <w:rsid w:val="008B61B5"/>
    <w:rsid w:val="008C1B1D"/>
    <w:rsid w:val="008F4932"/>
    <w:rsid w:val="009256BC"/>
    <w:rsid w:val="00926BDE"/>
    <w:rsid w:val="00927E6A"/>
    <w:rsid w:val="00953344"/>
    <w:rsid w:val="00962D3B"/>
    <w:rsid w:val="0097079E"/>
    <w:rsid w:val="00972191"/>
    <w:rsid w:val="00981EA2"/>
    <w:rsid w:val="009872FB"/>
    <w:rsid w:val="00996578"/>
    <w:rsid w:val="009A2885"/>
    <w:rsid w:val="009C3B5A"/>
    <w:rsid w:val="009E666D"/>
    <w:rsid w:val="009E66AE"/>
    <w:rsid w:val="009F2D92"/>
    <w:rsid w:val="00A0021E"/>
    <w:rsid w:val="00A03F08"/>
    <w:rsid w:val="00A04614"/>
    <w:rsid w:val="00A11FE6"/>
    <w:rsid w:val="00A357C2"/>
    <w:rsid w:val="00A36BC9"/>
    <w:rsid w:val="00A37BFA"/>
    <w:rsid w:val="00A4593C"/>
    <w:rsid w:val="00A56C4D"/>
    <w:rsid w:val="00A6450E"/>
    <w:rsid w:val="00A67D11"/>
    <w:rsid w:val="00A730A4"/>
    <w:rsid w:val="00A8355F"/>
    <w:rsid w:val="00A83A7C"/>
    <w:rsid w:val="00A85593"/>
    <w:rsid w:val="00AA6401"/>
    <w:rsid w:val="00AC0ECF"/>
    <w:rsid w:val="00AF4DB4"/>
    <w:rsid w:val="00B068DA"/>
    <w:rsid w:val="00B077CF"/>
    <w:rsid w:val="00B137B4"/>
    <w:rsid w:val="00B24A07"/>
    <w:rsid w:val="00B475BF"/>
    <w:rsid w:val="00B87CF6"/>
    <w:rsid w:val="00B95745"/>
    <w:rsid w:val="00BB37E4"/>
    <w:rsid w:val="00BC0B9F"/>
    <w:rsid w:val="00BD4BC3"/>
    <w:rsid w:val="00BE2F5F"/>
    <w:rsid w:val="00BF62F9"/>
    <w:rsid w:val="00C061DD"/>
    <w:rsid w:val="00C12A10"/>
    <w:rsid w:val="00C36059"/>
    <w:rsid w:val="00C403BA"/>
    <w:rsid w:val="00C46B5E"/>
    <w:rsid w:val="00C651CE"/>
    <w:rsid w:val="00C73267"/>
    <w:rsid w:val="00C772CA"/>
    <w:rsid w:val="00C86B17"/>
    <w:rsid w:val="00CA19B7"/>
    <w:rsid w:val="00CB0976"/>
    <w:rsid w:val="00CD5180"/>
    <w:rsid w:val="00CD7FC7"/>
    <w:rsid w:val="00CE10A1"/>
    <w:rsid w:val="00CF5E50"/>
    <w:rsid w:val="00D031F0"/>
    <w:rsid w:val="00D033C6"/>
    <w:rsid w:val="00D114E4"/>
    <w:rsid w:val="00D11924"/>
    <w:rsid w:val="00D13102"/>
    <w:rsid w:val="00D210BF"/>
    <w:rsid w:val="00D33BE6"/>
    <w:rsid w:val="00D444E8"/>
    <w:rsid w:val="00D54DE0"/>
    <w:rsid w:val="00D57FF0"/>
    <w:rsid w:val="00D634D8"/>
    <w:rsid w:val="00DA0042"/>
    <w:rsid w:val="00DA6058"/>
    <w:rsid w:val="00DC573E"/>
    <w:rsid w:val="00DC68E1"/>
    <w:rsid w:val="00DD0AB3"/>
    <w:rsid w:val="00DD3436"/>
    <w:rsid w:val="00DD72C7"/>
    <w:rsid w:val="00DE2624"/>
    <w:rsid w:val="00DE5117"/>
    <w:rsid w:val="00DF6665"/>
    <w:rsid w:val="00E07718"/>
    <w:rsid w:val="00E15BD0"/>
    <w:rsid w:val="00E2394C"/>
    <w:rsid w:val="00E30FFD"/>
    <w:rsid w:val="00E325A1"/>
    <w:rsid w:val="00E464E4"/>
    <w:rsid w:val="00E51072"/>
    <w:rsid w:val="00E56D27"/>
    <w:rsid w:val="00E6278D"/>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812DB"/>
    <w:rsid w:val="00F83A6F"/>
    <w:rsid w:val="00F845F4"/>
    <w:rsid w:val="00F910D5"/>
    <w:rsid w:val="00F930FD"/>
    <w:rsid w:val="00FA2234"/>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72105">
      <w:bodyDiv w:val="1"/>
      <w:marLeft w:val="0"/>
      <w:marRight w:val="0"/>
      <w:marTop w:val="0"/>
      <w:marBottom w:val="0"/>
      <w:divBdr>
        <w:top w:val="none" w:sz="0" w:space="0" w:color="auto"/>
        <w:left w:val="none" w:sz="0" w:space="0" w:color="auto"/>
        <w:bottom w:val="none" w:sz="0" w:space="0" w:color="auto"/>
        <w:right w:val="none" w:sz="0" w:space="0" w:color="auto"/>
      </w:divBdr>
    </w:div>
    <w:div w:id="732703564">
      <w:bodyDiv w:val="1"/>
      <w:marLeft w:val="0"/>
      <w:marRight w:val="0"/>
      <w:marTop w:val="0"/>
      <w:marBottom w:val="0"/>
      <w:divBdr>
        <w:top w:val="none" w:sz="0" w:space="0" w:color="auto"/>
        <w:left w:val="none" w:sz="0" w:space="0" w:color="auto"/>
        <w:bottom w:val="none" w:sz="0" w:space="0" w:color="auto"/>
        <w:right w:val="none" w:sz="0" w:space="0" w:color="auto"/>
      </w:divBdr>
    </w:div>
    <w:div w:id="735514956">
      <w:bodyDiv w:val="1"/>
      <w:marLeft w:val="0"/>
      <w:marRight w:val="0"/>
      <w:marTop w:val="0"/>
      <w:marBottom w:val="0"/>
      <w:divBdr>
        <w:top w:val="none" w:sz="0" w:space="0" w:color="auto"/>
        <w:left w:val="none" w:sz="0" w:space="0" w:color="auto"/>
        <w:bottom w:val="none" w:sz="0" w:space="0" w:color="auto"/>
        <w:right w:val="none" w:sz="0" w:space="0" w:color="auto"/>
      </w:divBdr>
    </w:div>
    <w:div w:id="804003130">
      <w:bodyDiv w:val="1"/>
      <w:marLeft w:val="0"/>
      <w:marRight w:val="0"/>
      <w:marTop w:val="0"/>
      <w:marBottom w:val="0"/>
      <w:divBdr>
        <w:top w:val="none" w:sz="0" w:space="0" w:color="auto"/>
        <w:left w:val="none" w:sz="0" w:space="0" w:color="auto"/>
        <w:bottom w:val="none" w:sz="0" w:space="0" w:color="auto"/>
        <w:right w:val="none" w:sz="0" w:space="0" w:color="auto"/>
      </w:divBdr>
    </w:div>
    <w:div w:id="1245602645">
      <w:bodyDiv w:val="1"/>
      <w:marLeft w:val="0"/>
      <w:marRight w:val="0"/>
      <w:marTop w:val="0"/>
      <w:marBottom w:val="0"/>
      <w:divBdr>
        <w:top w:val="none" w:sz="0" w:space="0" w:color="auto"/>
        <w:left w:val="none" w:sz="0" w:space="0" w:color="auto"/>
        <w:bottom w:val="none" w:sz="0" w:space="0" w:color="auto"/>
        <w:right w:val="none" w:sz="0" w:space="0" w:color="auto"/>
      </w:divBdr>
    </w:div>
    <w:div w:id="1300919786">
      <w:bodyDiv w:val="1"/>
      <w:marLeft w:val="0"/>
      <w:marRight w:val="0"/>
      <w:marTop w:val="0"/>
      <w:marBottom w:val="0"/>
      <w:divBdr>
        <w:top w:val="none" w:sz="0" w:space="0" w:color="auto"/>
        <w:left w:val="none" w:sz="0" w:space="0" w:color="auto"/>
        <w:bottom w:val="none" w:sz="0" w:space="0" w:color="auto"/>
        <w:right w:val="none" w:sz="0" w:space="0" w:color="auto"/>
      </w:divBdr>
    </w:div>
    <w:div w:id="15274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jadjawurrung.com.au/maps" TargetMode="External"/><Relationship Id="rId18" Type="http://schemas.openxmlformats.org/officeDocument/2006/relationships/hyperlink" Target="mailto:customer.service@delwp.vic.gov.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hyperlink" Target="http://www.justice.vic.gov.au/home/your+rights/native+title/dja+dja+wurrung+settlement+commences" TargetMode="External"/><Relationship Id="rId17" Type="http://schemas.openxmlformats.org/officeDocument/2006/relationships/hyperlink" Target="http://creativecommons.org/licenses/by/4.0/" TargetMode="Externa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yperlink" Target="http://www.delwp.vic.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i.vic.gov.au/forestry-and-land-use/visiting-parks-and-forests/visiting-state-forests/looking-after-forests" TargetMode="External"/><Relationship Id="rId24"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mailto:customer.service@delwp.vic.gov.au" TargetMode="External"/><Relationship Id="rId28" Type="http://schemas.openxmlformats.org/officeDocument/2006/relationships/header" Target="header2.xml"/><Relationship Id="rId10" Type="http://schemas.openxmlformats.org/officeDocument/2006/relationships/hyperlink" Target="http://www.depi.vic.gov.au/forestry-and-land-use/visiting-parks-and-forests/visiting-state-forests/places-to-visit/bendigo-places-to-visit" TargetMode="External"/><Relationship Id="rId19" Type="http://schemas.openxmlformats.org/officeDocument/2006/relationships/hyperlink" Target="http://www.relayservice.com.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arkweb.vic.gov.au/explore/find-a-park" TargetMode="External"/><Relationship Id="rId14" Type="http://schemas.openxmlformats.org/officeDocument/2006/relationships/hyperlink" Target="http://www.djadjawurrung.com.au/contact-us" TargetMode="External"/><Relationship Id="rId22" Type="http://schemas.openxmlformats.org/officeDocument/2006/relationships/hyperlink" Target="http://creativecommons.org/licenses/by/4.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5897-762E-4854-A80A-3AD4615D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1003</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2015-08-27T03:44:00Z</dcterms:created>
  <dcterms:modified xsi:type="dcterms:W3CDTF">2015-09-03T23:35:00Z</dcterms:modified>
</cp:coreProperties>
</file>