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7" w:type="dxa"/>
        <w:tblInd w:w="-176" w:type="dxa"/>
        <w:tblLayout w:type="fixed"/>
        <w:tblLook w:val="01E0" w:firstRow="1" w:lastRow="1" w:firstColumn="1" w:lastColumn="1" w:noHBand="0" w:noVBand="0"/>
      </w:tblPr>
      <w:tblGrid>
        <w:gridCol w:w="10207"/>
      </w:tblGrid>
      <w:tr w:rsidR="00BB6A87" w:rsidRPr="004A57D8" w:rsidTr="001F77C5">
        <w:trPr>
          <w:trHeight w:hRule="exact" w:val="3558"/>
        </w:trPr>
        <w:tc>
          <w:tcPr>
            <w:tcW w:w="10207" w:type="dxa"/>
            <w:shd w:val="clear" w:color="auto" w:fill="auto"/>
          </w:tcPr>
          <w:p w:rsidR="001F77C5" w:rsidRPr="009440F1" w:rsidRDefault="001F77C5" w:rsidP="001F77C5">
            <w:pPr>
              <w:spacing w:before="120"/>
              <w:rPr>
                <w:rFonts w:asciiTheme="majorHAnsi" w:hAnsiTheme="majorHAnsi"/>
                <w:b/>
                <w:color w:val="FFFFFF" w:themeColor="background1"/>
                <w:sz w:val="56"/>
                <w:szCs w:val="56"/>
              </w:rPr>
            </w:pPr>
            <w:r w:rsidRPr="009440F1">
              <w:rPr>
                <w:rFonts w:asciiTheme="majorHAnsi" w:hAnsiTheme="majorHAnsi"/>
                <w:b/>
                <w:color w:val="FFFFFF" w:themeColor="background1"/>
                <w:sz w:val="56"/>
                <w:szCs w:val="56"/>
              </w:rPr>
              <w:t>Tourism Leases in National Parks: Guidance Note</w:t>
            </w:r>
          </w:p>
          <w:p w:rsidR="00BB6A87" w:rsidRDefault="00BB6A87" w:rsidP="00CB33BB">
            <w:pPr>
              <w:pStyle w:val="Title"/>
            </w:pPr>
          </w:p>
          <w:p w:rsidR="00BB6A87" w:rsidRPr="00CB33BB" w:rsidRDefault="00F221DA" w:rsidP="00207A7C">
            <w:pPr>
              <w:pStyle w:val="CertHDWhite"/>
              <w:rPr>
                <w:rFonts w:ascii="Calibri" w:hAnsi="Calibri" w:cs="Calibri"/>
              </w:rPr>
            </w:pPr>
            <w:r>
              <w:rPr>
                <w:rFonts w:ascii="Calibri" w:hAnsi="Calibri" w:cs="Calibri"/>
                <w:noProof/>
                <w:lang w:eastAsia="en-AU"/>
              </w:rPr>
              <mc:AlternateContent>
                <mc:Choice Requires="wps">
                  <w:drawing>
                    <wp:anchor distT="0" distB="0" distL="114300" distR="114300" simplePos="0" relativeHeight="251659264" behindDoc="0" locked="0" layoutInCell="1" allowOverlap="1" wp14:anchorId="23F9DED4" wp14:editId="43E62A55">
                      <wp:simplePos x="0" y="0"/>
                      <wp:positionH relativeFrom="column">
                        <wp:posOffset>-65334</wp:posOffset>
                      </wp:positionH>
                      <wp:positionV relativeFrom="paragraph">
                        <wp:posOffset>1230489</wp:posOffset>
                      </wp:positionV>
                      <wp:extent cx="4233333" cy="428978"/>
                      <wp:effectExtent l="0" t="0" r="0" b="0"/>
                      <wp:wrapNone/>
                      <wp:docPr id="5" name="Text Box 5"/>
                      <wp:cNvGraphicFramePr/>
                      <a:graphic xmlns:a="http://schemas.openxmlformats.org/drawingml/2006/main">
                        <a:graphicData uri="http://schemas.microsoft.com/office/word/2010/wordprocessingShape">
                          <wps:wsp>
                            <wps:cNvSpPr txBox="1"/>
                            <wps:spPr>
                              <a:xfrm>
                                <a:off x="0" y="0"/>
                                <a:ext cx="4233333" cy="428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21DA" w:rsidRPr="00F221DA" w:rsidRDefault="00F221DA">
                                  <w:pPr>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F9DED4" id="_x0000_t202" coordsize="21600,21600" o:spt="202" path="m,l,21600r21600,l21600,xe">
                      <v:stroke joinstyle="miter"/>
                      <v:path gradientshapeok="t" o:connecttype="rect"/>
                    </v:shapetype>
                    <v:shape id="Text Box 5" o:spid="_x0000_s1026" type="#_x0000_t202" style="position:absolute;margin-left:-5.15pt;margin-top:96.9pt;width:333.35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" filled="f" stroked="f" strokeweight=".5pt">
                      <v:textbox>
                        <w:txbxContent>
                          <w:p w:rsidR="00F221DA" w:rsidRPr="00F221DA" w:rsidRDefault="00F221DA">
                            <w:pPr>
                              <w:rPr>
                                <w:color w:val="FFFFFF" w:themeColor="background1"/>
                                <w:sz w:val="40"/>
                                <w:szCs w:val="40"/>
                              </w:rPr>
                            </w:pPr>
                          </w:p>
                        </w:txbxContent>
                      </v:textbox>
                    </v:shape>
                  </w:pict>
                </mc:Fallback>
              </mc:AlternateContent>
            </w:r>
          </w:p>
        </w:tc>
      </w:tr>
    </w:tbl>
    <w:p w:rsidR="00BB6A87" w:rsidRPr="008B5BB5" w:rsidRDefault="00BB6A87" w:rsidP="00BB6A87"/>
    <w:tbl>
      <w:tblPr>
        <w:tblW w:w="10709" w:type="dxa"/>
        <w:tblInd w:w="-532" w:type="dxa"/>
        <w:tblLayout w:type="fixed"/>
        <w:tblLook w:val="01E0" w:firstRow="1" w:lastRow="1" w:firstColumn="1" w:lastColumn="1" w:noHBand="0" w:noVBand="0"/>
      </w:tblPr>
      <w:tblGrid>
        <w:gridCol w:w="10709"/>
      </w:tblGrid>
      <w:tr w:rsidR="00BB6A87" w:rsidRPr="00DB5624" w:rsidTr="003F5344">
        <w:trPr>
          <w:trHeight w:hRule="exact" w:val="9982"/>
        </w:trPr>
        <w:tc>
          <w:tcPr>
            <w:tcW w:w="10709" w:type="dxa"/>
            <w:shd w:val="clear" w:color="auto" w:fill="auto"/>
            <w:tcMar>
              <w:left w:w="0" w:type="dxa"/>
              <w:right w:w="0" w:type="dxa"/>
            </w:tcMar>
          </w:tcPr>
          <w:p w:rsidR="00BB6A87" w:rsidRPr="00DB5624" w:rsidRDefault="001F77C5" w:rsidP="00207A7C">
            <w:pPr>
              <w:pStyle w:val="CertHE"/>
              <w:tabs>
                <w:tab w:val="left" w:pos="459"/>
              </w:tabs>
            </w:pPr>
            <w:r>
              <w:rPr>
                <w:noProof/>
                <w:lang w:eastAsia="en-AU"/>
              </w:rPr>
              <w:drawing>
                <wp:inline distT="0" distB="0" distL="0" distR="0">
                  <wp:extent cx="9584055" cy="7755255"/>
                  <wp:effectExtent l="0" t="0" r="0" b="0"/>
                  <wp:docPr id="4" name="Picture 4" descr="O:\_archive\Land and Biodiversity White Paper\Project Management\Images\LANDSCAPES\HIGH RES\visionsofvictoria103169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_archive\Land and Biodiversity White Paper\Project Management\Images\LANDSCAPES\HIGH RES\visionsofvictoria1031693-3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84055" cy="7755255"/>
                          </a:xfrm>
                          <a:prstGeom prst="rect">
                            <a:avLst/>
                          </a:prstGeom>
                          <a:noFill/>
                          <a:ln>
                            <a:noFill/>
                          </a:ln>
                        </pic:spPr>
                      </pic:pic>
                    </a:graphicData>
                  </a:graphic>
                </wp:inline>
              </w:drawing>
            </w:r>
          </w:p>
        </w:tc>
      </w:tr>
    </w:tbl>
    <w:p w:rsidR="00BB6A87" w:rsidRPr="00CF2728" w:rsidRDefault="00BB6A87" w:rsidP="00DC1725"/>
    <w:p w:rsidR="00BB6A87" w:rsidRDefault="00BB6A87" w:rsidP="00DC1725">
      <w:pPr>
        <w:sectPr w:rsidR="00BB6A87" w:rsidSect="00BB6A87">
          <w:headerReference w:type="default" r:id="rId9"/>
          <w:footerReference w:type="default" r:id="rId10"/>
          <w:type w:val="continuous"/>
          <w:pgSz w:w="11907" w:h="16840" w:code="9"/>
          <w:pgMar w:top="1701" w:right="1134" w:bottom="568" w:left="1134" w:header="709" w:footer="709" w:gutter="0"/>
          <w:cols w:space="708"/>
          <w:docGrid w:linePitch="360"/>
        </w:sectPr>
      </w:pPr>
    </w:p>
    <w:p w:rsidR="00823E6F" w:rsidRDefault="00823E6F" w:rsidP="00DF217F"/>
    <w:p w:rsidR="00422EA7" w:rsidRPr="00DF217F" w:rsidRDefault="00422EA7" w:rsidP="00DF217F">
      <w:pPr>
        <w:sectPr w:rsidR="00422EA7" w:rsidRPr="00DF217F" w:rsidSect="00513E41">
          <w:footerReference w:type="even" r:id="rId11"/>
          <w:type w:val="continuous"/>
          <w:pgSz w:w="11907" w:h="16840" w:code="9"/>
          <w:pgMar w:top="1134" w:right="1134" w:bottom="426" w:left="1134" w:header="709" w:footer="567" w:gutter="0"/>
          <w:pgNumType w:start="1"/>
          <w:cols w:space="708"/>
          <w:titlePg/>
          <w:docGrid w:linePitch="360"/>
        </w:sectPr>
      </w:pPr>
    </w:p>
    <w:tbl>
      <w:tblPr>
        <w:tblW w:w="0" w:type="auto"/>
        <w:tblLook w:val="01E0" w:firstRow="1" w:lastRow="1" w:firstColumn="1" w:lastColumn="1" w:noHBand="0" w:noVBand="0"/>
      </w:tblPr>
      <w:tblGrid>
        <w:gridCol w:w="9855"/>
      </w:tblGrid>
      <w:tr w:rsidR="00A74AEE" w:rsidTr="00566FE3">
        <w:trPr>
          <w:trHeight w:val="13912"/>
        </w:trPr>
        <w:tc>
          <w:tcPr>
            <w:tcW w:w="9855" w:type="dxa"/>
            <w:shd w:val="clear" w:color="auto" w:fill="auto"/>
            <w:vAlign w:val="bottom"/>
          </w:tcPr>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Pr="008A7E20" w:rsidRDefault="00F649B6" w:rsidP="00F649B6">
            <w:pPr>
              <w:autoSpaceDE w:val="0"/>
              <w:autoSpaceDN w:val="0"/>
              <w:adjustRightInd w:val="0"/>
              <w:spacing w:after="320"/>
              <w:rPr>
                <w:rFonts w:ascii="Arial" w:hAnsi="Arial" w:cs="Arial"/>
                <w:color w:val="343F47"/>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281AEE" w:rsidRPr="00281AEE" w:rsidRDefault="00281AEE" w:rsidP="00281AEE">
            <w:pPr>
              <w:autoSpaceDE w:val="0"/>
              <w:autoSpaceDN w:val="0"/>
              <w:adjustRightInd w:val="0"/>
              <w:spacing w:after="320"/>
              <w:rPr>
                <w:rFonts w:asciiTheme="minorHAnsi" w:eastAsiaTheme="minorHAnsi" w:hAnsiTheme="minorHAnsi" w:cstheme="minorHAnsi"/>
                <w:sz w:val="16"/>
                <w:szCs w:val="16"/>
              </w:rPr>
            </w:pPr>
            <w:r w:rsidRPr="00281AEE">
              <w:rPr>
                <w:rFonts w:asciiTheme="minorHAnsi" w:eastAsiaTheme="minorHAnsi" w:hAnsiTheme="minorHAnsi" w:cstheme="minorHAnsi"/>
                <w:noProof/>
                <w:sz w:val="16"/>
                <w:szCs w:val="16"/>
                <w:lang w:eastAsia="en-AU"/>
              </w:rPr>
              <w:drawing>
                <wp:anchor distT="0" distB="0" distL="114300" distR="114300" simplePos="0" relativeHeight="251661312" behindDoc="0" locked="0" layoutInCell="1" allowOverlap="1" wp14:anchorId="0DCF665B" wp14:editId="689658FE">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2">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281AEE">
              <w:rPr>
                <w:rFonts w:asciiTheme="minorHAnsi" w:eastAsiaTheme="minorHAnsi" w:hAnsiTheme="minorHAnsi" w:cstheme="minorHAnsi"/>
                <w:sz w:val="16"/>
                <w:szCs w:val="16"/>
              </w:rPr>
              <w:t>© The State of Victoria Department of Environment, Land, Water and Planning 2015</w:t>
            </w:r>
          </w:p>
          <w:p w:rsidR="00281AEE" w:rsidRPr="00281AEE" w:rsidRDefault="00281AEE" w:rsidP="00281AEE">
            <w:pPr>
              <w:spacing w:before="100" w:after="60" w:line="175" w:lineRule="atLeast"/>
              <w:rPr>
                <w:rFonts w:asciiTheme="minorHAnsi" w:hAnsiTheme="minorHAnsi" w:cstheme="minorHAnsi"/>
                <w:color w:val="000000" w:themeColor="text1"/>
                <w:sz w:val="16"/>
                <w:szCs w:val="16"/>
                <w:lang w:eastAsia="en-AU"/>
              </w:rPr>
            </w:pPr>
            <w:bookmarkStart w:id="0" w:name="_CreativeCommonsMarker"/>
            <w:bookmarkEnd w:id="0"/>
          </w:p>
          <w:p w:rsidR="00B46211" w:rsidRPr="001C0147" w:rsidRDefault="00B46211" w:rsidP="00B46211">
            <w:pPr>
              <w:autoSpaceDE w:val="0"/>
              <w:autoSpaceDN w:val="0"/>
              <w:adjustRightInd w:val="0"/>
              <w:spacing w:after="120" w:line="276" w:lineRule="auto"/>
              <w:rPr>
                <w:rFonts w:asciiTheme="minorHAnsi" w:eastAsiaTheme="minorHAnsi" w:hAnsiTheme="minorHAnsi" w:cstheme="minorHAnsi"/>
                <w:sz w:val="16"/>
                <w:szCs w:val="16"/>
              </w:rPr>
            </w:pPr>
            <w:r w:rsidRPr="00B46211">
              <w:rPr>
                <w:rFonts w:asciiTheme="minorHAnsi" w:eastAsiaTheme="minorHAnsi" w:hAnsiTheme="minorHAnsi" w:cstheme="minorHAnsi"/>
                <w:sz w:val="16"/>
                <w:szCs w:val="16"/>
              </w:rPr>
              <w:t xml:space="preserve">This work is licensed under </w:t>
            </w:r>
            <w:r w:rsidRPr="001C0147">
              <w:rPr>
                <w:rFonts w:asciiTheme="minorHAnsi" w:eastAsiaTheme="minorHAnsi" w:hAnsiTheme="minorHAnsi" w:cstheme="minorHAnsi"/>
                <w:sz w:val="16"/>
                <w:szCs w:val="16"/>
              </w:rPr>
              <w:t xml:space="preserve">a </w:t>
            </w:r>
            <w:hyperlink r:id="rId13" w:history="1">
              <w:r w:rsidRPr="001C0147">
                <w:rPr>
                  <w:rStyle w:val="Hyperlink"/>
                  <w:rFonts w:asciiTheme="minorHAnsi" w:eastAsiaTheme="minorHAnsi" w:hAnsiTheme="minorHAnsi" w:cstheme="minorHAnsi"/>
                  <w:color w:val="auto"/>
                  <w:sz w:val="16"/>
                  <w:szCs w:val="16"/>
                  <w:u w:val="none"/>
                </w:rPr>
                <w:t>Creative Commons Attribution 4.0 International licence</w:t>
              </w:r>
            </w:hyperlink>
            <w:r w:rsidRPr="001C0147">
              <w:rPr>
                <w:rFonts w:asciiTheme="minorHAnsi" w:eastAsiaTheme="minorHAnsi" w:hAnsiTheme="minorHAnsi" w:cstheme="minorHAnsi"/>
                <w:sz w:val="16"/>
                <w:szCs w:val="16"/>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4" w:history="1">
              <w:r w:rsidRPr="001C0147">
                <w:rPr>
                  <w:rStyle w:val="Hyperlink"/>
                  <w:rFonts w:asciiTheme="minorHAnsi" w:eastAsiaTheme="minorHAnsi" w:hAnsiTheme="minorHAnsi" w:cstheme="minorHAnsi"/>
                  <w:color w:val="auto"/>
                  <w:sz w:val="16"/>
                  <w:szCs w:val="16"/>
                  <w:u w:val="none"/>
                </w:rPr>
                <w:t>http://creativecommons.org/licenses/by/4.0/</w:t>
              </w:r>
            </w:hyperlink>
          </w:p>
          <w:p w:rsidR="00281AEE" w:rsidRPr="00281AEE" w:rsidRDefault="00281AEE" w:rsidP="00281AEE">
            <w:pPr>
              <w:autoSpaceDE w:val="0"/>
              <w:autoSpaceDN w:val="0"/>
              <w:adjustRightInd w:val="0"/>
              <w:spacing w:after="200" w:line="276" w:lineRule="auto"/>
              <w:rPr>
                <w:rFonts w:asciiTheme="minorHAnsi" w:eastAsiaTheme="minorHAnsi" w:hAnsiTheme="minorHAnsi" w:cstheme="minorHAnsi"/>
                <w:color w:val="FF0000"/>
                <w:sz w:val="16"/>
                <w:szCs w:val="16"/>
              </w:rPr>
            </w:pPr>
            <w:r w:rsidRPr="00281AEE">
              <w:rPr>
                <w:rFonts w:asciiTheme="minorHAnsi" w:eastAsiaTheme="minorHAnsi" w:hAnsiTheme="minorHAnsi" w:cstheme="minorHAnsi"/>
                <w:sz w:val="16"/>
                <w:szCs w:val="16"/>
              </w:rPr>
              <w:t xml:space="preserve">ISBN </w:t>
            </w:r>
            <w:r w:rsidRPr="00281AEE">
              <w:rPr>
                <w:rFonts w:asciiTheme="minorHAnsi" w:eastAsiaTheme="minorHAnsi" w:hAnsiTheme="minorHAnsi" w:cstheme="minorHAnsi"/>
                <w:color w:val="FF0000"/>
                <w:sz w:val="16"/>
                <w:szCs w:val="16"/>
              </w:rPr>
              <w:t>XXXXXXXXXXXXXXX</w:t>
            </w:r>
          </w:p>
          <w:p w:rsidR="00281AEE" w:rsidRPr="00281AEE"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Disclaimer</w:t>
            </w:r>
          </w:p>
          <w:p w:rsidR="00A74AEE" w:rsidRDefault="00281AEE" w:rsidP="00281AEE">
            <w:pPr>
              <w:rPr>
                <w:rFonts w:asciiTheme="minorHAnsi" w:eastAsia="Calibri" w:hAnsiTheme="minorHAnsi" w:cstheme="minorHAnsi"/>
                <w:color w:val="000000"/>
                <w:sz w:val="16"/>
                <w:szCs w:val="16"/>
              </w:rPr>
            </w:pPr>
            <w:r w:rsidRPr="00281AEE">
              <w:rPr>
                <w:rFonts w:asciiTheme="minorHAnsi" w:eastAsia="Calibri" w:hAnsiTheme="minorHAnsi"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9440F1" w:rsidRDefault="009440F1" w:rsidP="009440F1">
            <w:pPr>
              <w:pStyle w:val="ImprintText"/>
              <w:rPr>
                <w:sz w:val="28"/>
                <w:szCs w:val="28"/>
              </w:rPr>
            </w:pPr>
            <w:r w:rsidRPr="00750DFC">
              <w:rPr>
                <w:b/>
                <w:bCs/>
                <w:sz w:val="28"/>
                <w:szCs w:val="28"/>
              </w:rPr>
              <w:t>Accessibility</w:t>
            </w:r>
          </w:p>
          <w:p w:rsidR="001C0147" w:rsidRPr="009730D5" w:rsidRDefault="009440F1" w:rsidP="00331D7B">
            <w:pPr>
              <w:rPr>
                <w:sz w:val="14"/>
                <w:szCs w:val="14"/>
              </w:rPr>
            </w:pPr>
            <w:r w:rsidRPr="00BE2F5F">
              <w:rPr>
                <w:sz w:val="28"/>
                <w:szCs w:val="28"/>
              </w:rPr>
              <w:t xml:space="preserve">If you would like to receive this publication in an alternative format, please telephone DELWP Customer Service Centre 136 186, email </w:t>
            </w:r>
            <w:hyperlink r:id="rId15" w:history="1">
              <w:r w:rsidR="00331D7B" w:rsidRPr="00BE2F5F">
                <w:rPr>
                  <w:sz w:val="28"/>
                  <w:szCs w:val="28"/>
                </w:rPr>
                <w:t>customer.service@delwp.vic.gov.au</w:t>
              </w:r>
            </w:hyperlink>
            <w:r w:rsidR="00331D7B" w:rsidRPr="00BE2F5F">
              <w:rPr>
                <w:sz w:val="28"/>
                <w:szCs w:val="28"/>
              </w:rPr>
              <w:t xml:space="preserve">, via the National Relay Service on 133 677 </w:t>
            </w:r>
            <w:hyperlink r:id="rId16" w:history="1">
              <w:r w:rsidR="00331D7B" w:rsidRPr="00BE2F5F">
                <w:rPr>
                  <w:sz w:val="28"/>
                  <w:szCs w:val="28"/>
                </w:rPr>
                <w:t>www.relayservice.com.au</w:t>
              </w:r>
            </w:hyperlink>
            <w:r w:rsidR="00331D7B" w:rsidRPr="00BE2F5F">
              <w:rPr>
                <w:sz w:val="28"/>
                <w:szCs w:val="28"/>
              </w:rPr>
              <w:t xml:space="preserve">. This document is also available on the internet at </w:t>
            </w:r>
            <w:hyperlink r:id="rId17" w:history="1">
              <w:r w:rsidR="00331D7B" w:rsidRPr="00BE2F5F">
                <w:rPr>
                  <w:sz w:val="28"/>
                  <w:szCs w:val="28"/>
                </w:rPr>
                <w:t>www.delwp.vic.gov.au</w:t>
              </w:r>
            </w:hyperlink>
          </w:p>
        </w:tc>
      </w:tr>
    </w:tbl>
    <w:p w:rsidR="004536DF" w:rsidRDefault="004536DF" w:rsidP="004536DF"/>
    <w:p w:rsidR="00422EA7" w:rsidRDefault="00422EA7" w:rsidP="004536DF">
      <w:pPr>
        <w:pStyle w:val="TOCTitle"/>
        <w:sectPr w:rsidR="00422EA7" w:rsidSect="00A74AEE">
          <w:headerReference w:type="default" r:id="rId18"/>
          <w:footerReference w:type="default" r:id="rId19"/>
          <w:type w:val="continuous"/>
          <w:pgSz w:w="11907" w:h="16840" w:code="9"/>
          <w:pgMar w:top="1134" w:right="1134" w:bottom="425" w:left="1134" w:header="709" w:footer="567" w:gutter="0"/>
          <w:pgNumType w:start="1"/>
          <w:cols w:space="708"/>
          <w:formProt w:val="0"/>
          <w:titlePg/>
          <w:docGrid w:linePitch="360"/>
        </w:sectPr>
      </w:pPr>
    </w:p>
    <w:p w:rsidR="004A4A54" w:rsidRDefault="004A4A54" w:rsidP="009440F1">
      <w:pPr>
        <w:pStyle w:val="TOCTitle"/>
      </w:pPr>
      <w:bookmarkStart w:id="1" w:name="_Toc358825452"/>
    </w:p>
    <w:p w:rsidR="009440F1" w:rsidRPr="003442F7" w:rsidRDefault="009440F1" w:rsidP="009440F1">
      <w:pPr>
        <w:pStyle w:val="TOCTitle"/>
      </w:pPr>
      <w:r w:rsidRPr="00040071">
        <w:t>Contents</w:t>
      </w:r>
    </w:p>
    <w:p w:rsidR="009440F1" w:rsidRDefault="009440F1" w:rsidP="009440F1">
      <w:pPr>
        <w:rPr>
          <w:lang w:val="en-US"/>
        </w:rPr>
      </w:pPr>
    </w:p>
    <w:p w:rsidR="009440F1" w:rsidRPr="004A4A54" w:rsidRDefault="009440F1" w:rsidP="009440F1">
      <w:pPr>
        <w:pStyle w:val="HB"/>
        <w:rPr>
          <w:sz w:val="22"/>
          <w:szCs w:val="22"/>
        </w:rPr>
      </w:pPr>
      <w:r w:rsidRPr="004A4A54">
        <w:rPr>
          <w:sz w:val="22"/>
          <w:szCs w:val="22"/>
        </w:rPr>
        <w:t>Scope</w:t>
      </w:r>
      <w:r w:rsidR="00A42B76" w:rsidRPr="004A4A54">
        <w:rPr>
          <w:sz w:val="22"/>
          <w:szCs w:val="22"/>
        </w:rPr>
        <w:t>…………………………………………………………………………………………………………………………………………………….   3</w:t>
      </w:r>
    </w:p>
    <w:p w:rsidR="009440F1" w:rsidRPr="004A4A54" w:rsidRDefault="009440F1" w:rsidP="009440F1">
      <w:pPr>
        <w:pStyle w:val="HB"/>
        <w:rPr>
          <w:sz w:val="22"/>
          <w:szCs w:val="22"/>
        </w:rPr>
      </w:pPr>
      <w:r w:rsidRPr="004A4A54">
        <w:rPr>
          <w:sz w:val="22"/>
          <w:szCs w:val="22"/>
        </w:rPr>
        <w:t xml:space="preserve">Guiding principles </w:t>
      </w:r>
      <w:r w:rsidR="00A42B76" w:rsidRPr="004A4A54">
        <w:rPr>
          <w:sz w:val="22"/>
          <w:szCs w:val="22"/>
        </w:rPr>
        <w:t>…………………………………………………………………………………………………………………………………   4</w:t>
      </w:r>
    </w:p>
    <w:p w:rsidR="009440F1" w:rsidRPr="004A4A54" w:rsidRDefault="009440F1" w:rsidP="009440F1">
      <w:pPr>
        <w:pStyle w:val="HB"/>
        <w:rPr>
          <w:sz w:val="22"/>
          <w:szCs w:val="22"/>
        </w:rPr>
      </w:pPr>
      <w:r w:rsidRPr="004A4A54">
        <w:rPr>
          <w:sz w:val="22"/>
          <w:szCs w:val="22"/>
        </w:rPr>
        <w:t xml:space="preserve">Consultation </w:t>
      </w:r>
      <w:r w:rsidR="00A42B76" w:rsidRPr="004A4A54">
        <w:rPr>
          <w:sz w:val="22"/>
          <w:szCs w:val="22"/>
        </w:rPr>
        <w:t xml:space="preserve"> ………………………………………………………………………………………………………………………………………..   5</w:t>
      </w:r>
    </w:p>
    <w:p w:rsidR="009440F1" w:rsidRDefault="009440F1">
      <w:pPr>
        <w:rPr>
          <w:rFonts w:cs="Arial"/>
          <w:b/>
          <w:color w:val="228591"/>
          <w:sz w:val="40"/>
          <w:lang w:val="en-US"/>
        </w:rPr>
      </w:pPr>
      <w:r>
        <w:rPr>
          <w:b/>
        </w:rPr>
        <w:br w:type="page"/>
      </w:r>
    </w:p>
    <w:p w:rsidR="009440F1" w:rsidRDefault="009440F1" w:rsidP="001F77C5">
      <w:pPr>
        <w:pStyle w:val="HA"/>
        <w:rPr>
          <w:b/>
        </w:rPr>
      </w:pPr>
    </w:p>
    <w:p w:rsidR="001F77C5" w:rsidRPr="00D8255B" w:rsidRDefault="001F77C5" w:rsidP="001F77C5">
      <w:pPr>
        <w:pStyle w:val="HA"/>
        <w:rPr>
          <w:b/>
        </w:rPr>
      </w:pPr>
      <w:r w:rsidRPr="00A42B76">
        <w:rPr>
          <w:b/>
          <w:color w:val="31849B" w:themeColor="accent5" w:themeShade="BF"/>
        </w:rPr>
        <w:t xml:space="preserve">Tourism Leases in </w:t>
      </w:r>
      <w:r w:rsidRPr="009440F1">
        <w:rPr>
          <w:b/>
          <w:color w:val="31849B" w:themeColor="accent5" w:themeShade="BF"/>
        </w:rPr>
        <w:t>National Parks: Guidance Note</w:t>
      </w:r>
    </w:p>
    <w:p w:rsidR="00A42B76" w:rsidRDefault="00A42B76" w:rsidP="00D8255B">
      <w:pPr>
        <w:pStyle w:val="Body2"/>
      </w:pPr>
    </w:p>
    <w:p w:rsidR="001F77C5" w:rsidRPr="00D8255B" w:rsidRDefault="001F77C5" w:rsidP="00D8255B">
      <w:pPr>
        <w:pStyle w:val="Body2"/>
      </w:pPr>
      <w:r w:rsidRPr="00D8255B">
        <w:t xml:space="preserve">This guidance note provides an overview of the principles and procedures that the government will apply when considering a proposal for private investment for appropriate, small scale development inside a national park under a lease of up to 21 years. It accompanies changes to the </w:t>
      </w:r>
      <w:r w:rsidRPr="00D8255B">
        <w:rPr>
          <w:i/>
        </w:rPr>
        <w:t>National Parks Act 1975</w:t>
      </w:r>
      <w:r w:rsidRPr="00D8255B">
        <w:t xml:space="preserve"> to reduce the maximum term of a lease under the general leasing power (section 19G) to 21 years.</w:t>
      </w:r>
    </w:p>
    <w:p w:rsidR="001F77C5" w:rsidRPr="00D8255B" w:rsidRDefault="001F77C5" w:rsidP="00D8255B">
      <w:pPr>
        <w:pStyle w:val="Body2"/>
      </w:pPr>
      <w:r w:rsidRPr="00D8255B">
        <w:t>National parks are special parts of our heritage which need to be protected for this and future generations.  Their special qualities attract visitors from across Victoria, interstate and overseas.</w:t>
      </w:r>
    </w:p>
    <w:p w:rsidR="001F77C5" w:rsidRPr="00D8255B" w:rsidRDefault="001F77C5" w:rsidP="00D8255B">
      <w:pPr>
        <w:pStyle w:val="Body2"/>
      </w:pPr>
      <w:r w:rsidRPr="00D8255B">
        <w:t xml:space="preserve">The Victorian Government is committed to protecting the state’s national parks and it does not want to compromise the very values that attract visitors to them in the first place. This approach is reflected in its election policy, </w:t>
      </w:r>
      <w:r w:rsidRPr="00D8255B">
        <w:rPr>
          <w:i/>
        </w:rPr>
        <w:t>Our Environment, Our Future</w:t>
      </w:r>
      <w:r w:rsidRPr="00D8255B">
        <w:t xml:space="preserve">, where the government committed to “not allow large scale private development in our national parks” and to “remove the Government’s ability to grant 99 year leases”. </w:t>
      </w:r>
    </w:p>
    <w:p w:rsidR="001F77C5" w:rsidRDefault="001F77C5" w:rsidP="00D8255B">
      <w:pPr>
        <w:pStyle w:val="Body2"/>
      </w:pPr>
      <w:r w:rsidRPr="00D8255B">
        <w:t xml:space="preserve">The Victorian Government is also working to encourage growth in the tourism industry across the state. Tourism is a significant contributor to the economy and to jobs for Victorians, particularly for regional areas, and national parks play an important role in nature-based tourism. However, rather than encouraging developments inside national parks, </w:t>
      </w:r>
      <w:r w:rsidRPr="00A9381C">
        <w:t>tourism development</w:t>
      </w:r>
      <w:r>
        <w:t xml:space="preserve"> will be encouraged to be sited on private or other public land outside parks, </w:t>
      </w:r>
      <w:r w:rsidRPr="0020204D">
        <w:t>in locations that are more likely to provide economic benefits directly to regional towns.</w:t>
      </w:r>
      <w:r>
        <w:t xml:space="preserve"> </w:t>
      </w:r>
      <w:r w:rsidRPr="00E646C5">
        <w:t>Th</w:t>
      </w:r>
      <w:r>
        <w:t xml:space="preserve">is </w:t>
      </w:r>
      <w:r w:rsidRPr="00E646C5">
        <w:t xml:space="preserve">is consistent with the worldwide trend for resorts and </w:t>
      </w:r>
      <w:r>
        <w:t xml:space="preserve">large scale </w:t>
      </w:r>
      <w:r w:rsidRPr="00E646C5">
        <w:t>tourism developments to be located outside national parks</w:t>
      </w:r>
      <w:r w:rsidRPr="00BE16A8">
        <w:t>.</w:t>
      </w:r>
    </w:p>
    <w:p w:rsidR="001F77C5" w:rsidRDefault="001F77C5" w:rsidP="009D3CC4">
      <w:pPr>
        <w:pStyle w:val="Body2"/>
      </w:pPr>
      <w:r w:rsidRPr="005B335D">
        <w:t xml:space="preserve">Nonetheless, a range of private investment possibilities in national parks may be considered depending on the site, the scale of the proposal and whether the requirements of the National Parks Act can be met. Examples of potential proposals could include eco-huts or other types of </w:t>
      </w:r>
      <w:r>
        <w:t xml:space="preserve">boutique </w:t>
      </w:r>
      <w:r w:rsidRPr="005B335D">
        <w:t xml:space="preserve">tourism accommodation, guided walks with </w:t>
      </w:r>
      <w:r>
        <w:t>low impact</w:t>
      </w:r>
      <w:r w:rsidRPr="005B335D">
        <w:t xml:space="preserve"> accommodation, or other recreational facilities such as treetop walks or ziplines.</w:t>
      </w:r>
    </w:p>
    <w:p w:rsidR="00D8255B" w:rsidRPr="00A42B76" w:rsidRDefault="00D8255B" w:rsidP="00A42B76">
      <w:pPr>
        <w:pStyle w:val="Heading2"/>
        <w:spacing w:after="240"/>
        <w:rPr>
          <w:rFonts w:ascii="Calibri" w:hAnsi="Calibri"/>
          <w:i w:val="0"/>
          <w:color w:val="31849B" w:themeColor="accent5" w:themeShade="BF"/>
        </w:rPr>
      </w:pPr>
      <w:r w:rsidRPr="00A42B76">
        <w:rPr>
          <w:rFonts w:ascii="Calibri" w:hAnsi="Calibri"/>
          <w:i w:val="0"/>
          <w:color w:val="31849B" w:themeColor="accent5" w:themeShade="BF"/>
        </w:rPr>
        <w:t>Scope</w:t>
      </w:r>
    </w:p>
    <w:bookmarkEnd w:id="1"/>
    <w:p w:rsidR="00D8255B" w:rsidRDefault="00D8255B" w:rsidP="00D8255B">
      <w:pPr>
        <w:jc w:val="both"/>
        <w:rPr>
          <w:rStyle w:val="Italic-light"/>
          <w:rFonts w:asciiTheme="minorHAnsi" w:hAnsiTheme="minorHAnsi"/>
          <w:i w:val="0"/>
        </w:rPr>
      </w:pPr>
      <w:r>
        <w:t xml:space="preserve">This guidance note </w:t>
      </w:r>
      <w:r w:rsidRPr="00BA137A">
        <w:rPr>
          <w:b/>
        </w:rPr>
        <w:t>applies</w:t>
      </w:r>
      <w:r>
        <w:t xml:space="preserve"> only to </w:t>
      </w:r>
      <w:r w:rsidRPr="00384329">
        <w:t xml:space="preserve">land </w:t>
      </w:r>
      <w:r>
        <w:t xml:space="preserve">that can be leased under section 19G of the </w:t>
      </w:r>
      <w:r w:rsidRPr="006263B2">
        <w:rPr>
          <w:rStyle w:val="Italic-light"/>
          <w:rFonts w:asciiTheme="minorHAnsi" w:hAnsiTheme="minorHAnsi"/>
        </w:rPr>
        <w:t>National Parks Act</w:t>
      </w:r>
      <w:r>
        <w:rPr>
          <w:rStyle w:val="Italic-light"/>
          <w:rFonts w:asciiTheme="minorHAnsi" w:hAnsiTheme="minorHAnsi"/>
        </w:rPr>
        <w:t xml:space="preserve">. </w:t>
      </w:r>
      <w:r>
        <w:t>This includes, for example, national parks, state park</w:t>
      </w:r>
      <w:r w:rsidRPr="00D8255B">
        <w:rPr>
          <w:i/>
        </w:rPr>
        <w:t xml:space="preserve">s, </w:t>
      </w:r>
      <w:r w:rsidRPr="00D8255B">
        <w:t>coastal parks and marine national parks but excludes areas under the Act where development or visitor use is not appropriate or permitted.</w:t>
      </w:r>
      <w:r w:rsidRPr="00D8255B">
        <w:rPr>
          <w:i/>
        </w:rPr>
        <w:t xml:space="preserve"> </w:t>
      </w:r>
      <w:r w:rsidRPr="00D8255B">
        <w:rPr>
          <w:rStyle w:val="Italic-light"/>
          <w:rFonts w:asciiTheme="minorHAnsi" w:hAnsiTheme="minorHAnsi"/>
          <w:i w:val="0"/>
        </w:rPr>
        <w:t>For the purposes of this policy, the relevant areas are collectively referred to as ‘national parks’.</w:t>
      </w:r>
    </w:p>
    <w:p w:rsidR="009D3CC4" w:rsidRPr="00D8255B" w:rsidRDefault="009D3CC4" w:rsidP="00D8255B">
      <w:pPr>
        <w:jc w:val="both"/>
        <w:rPr>
          <w:i/>
          <w:lang w:val="en-GB"/>
        </w:rPr>
      </w:pPr>
    </w:p>
    <w:p w:rsidR="00D8255B" w:rsidRPr="00D8255B" w:rsidRDefault="00BC4941" w:rsidP="00D8255B">
      <w:pPr>
        <w:pStyle w:val="BODY"/>
        <w:spacing w:after="120" w:line="276" w:lineRule="auto"/>
        <w:jc w:val="both"/>
        <w:rPr>
          <w:rFonts w:asciiTheme="minorHAnsi" w:hAnsiTheme="minorHAnsi"/>
          <w:i/>
          <w:color w:val="auto"/>
          <w:sz w:val="22"/>
          <w:szCs w:val="22"/>
        </w:rPr>
      </w:pPr>
      <w:r>
        <w:rPr>
          <w:rFonts w:asciiTheme="minorHAnsi" w:hAnsiTheme="minorHAnsi"/>
          <w:color w:val="auto"/>
          <w:sz w:val="22"/>
          <w:szCs w:val="22"/>
        </w:rPr>
        <w:t xml:space="preserve">In particular, </w:t>
      </w:r>
      <w:bookmarkStart w:id="2" w:name="_GoBack"/>
      <w:bookmarkEnd w:id="2"/>
      <w:r w:rsidR="00D8255B" w:rsidRPr="00D8255B">
        <w:rPr>
          <w:rFonts w:asciiTheme="minorHAnsi" w:hAnsiTheme="minorHAnsi"/>
          <w:color w:val="auto"/>
          <w:sz w:val="22"/>
          <w:szCs w:val="22"/>
        </w:rPr>
        <w:t>the policy</w:t>
      </w:r>
      <w:r w:rsidR="00D8255B" w:rsidRPr="00D8255B">
        <w:rPr>
          <w:rFonts w:asciiTheme="minorHAnsi" w:hAnsiTheme="minorHAnsi"/>
          <w:i/>
          <w:color w:val="auto"/>
          <w:sz w:val="22"/>
          <w:szCs w:val="22"/>
        </w:rPr>
        <w:t xml:space="preserve"> </w:t>
      </w:r>
      <w:r w:rsidR="00D8255B" w:rsidRPr="00D8255B">
        <w:rPr>
          <w:rStyle w:val="Italic-light"/>
          <w:rFonts w:asciiTheme="minorHAnsi" w:hAnsiTheme="minorHAnsi"/>
          <w:b/>
          <w:i w:val="0"/>
          <w:sz w:val="22"/>
          <w:szCs w:val="22"/>
        </w:rPr>
        <w:t>does not apply</w:t>
      </w:r>
      <w:r w:rsidR="00D8255B" w:rsidRPr="00D8255B">
        <w:rPr>
          <w:rStyle w:val="Italic-light"/>
          <w:rFonts w:asciiTheme="minorHAnsi" w:hAnsiTheme="minorHAnsi"/>
          <w:i w:val="0"/>
          <w:sz w:val="22"/>
          <w:szCs w:val="22"/>
        </w:rPr>
        <w:t xml:space="preserve"> to the following areas that are expressly excluded from the general leasing power in the National Parks Act</w:t>
      </w:r>
      <w:r w:rsidR="00D8255B" w:rsidRPr="00D8255B">
        <w:rPr>
          <w:rFonts w:asciiTheme="minorHAnsi" w:hAnsiTheme="minorHAnsi"/>
          <w:i/>
          <w:color w:val="auto"/>
          <w:sz w:val="22"/>
          <w:szCs w:val="22"/>
        </w:rPr>
        <w:t>:</w:t>
      </w:r>
    </w:p>
    <w:p w:rsidR="00D8255B" w:rsidRPr="00973AE3" w:rsidRDefault="00D8255B" w:rsidP="00D8255B">
      <w:pPr>
        <w:pStyle w:val="BULLETS"/>
        <w:spacing w:after="120"/>
        <w:ind w:left="426" w:hanging="426"/>
        <w:jc w:val="both"/>
        <w:rPr>
          <w:rFonts w:asciiTheme="minorHAnsi" w:hAnsiTheme="minorHAnsi"/>
          <w:color w:val="auto"/>
          <w:sz w:val="22"/>
          <w:szCs w:val="22"/>
        </w:rPr>
      </w:pPr>
      <w:r w:rsidRPr="00973AE3">
        <w:rPr>
          <w:rFonts w:asciiTheme="minorHAnsi" w:hAnsiTheme="minorHAnsi"/>
          <w:color w:val="auto"/>
          <w:sz w:val="22"/>
          <w:szCs w:val="22"/>
        </w:rPr>
        <w:t>•</w:t>
      </w:r>
      <w:r w:rsidRPr="00973AE3">
        <w:rPr>
          <w:rFonts w:asciiTheme="minorHAnsi" w:hAnsiTheme="minorHAnsi"/>
          <w:color w:val="auto"/>
          <w:sz w:val="22"/>
          <w:szCs w:val="22"/>
        </w:rPr>
        <w:tab/>
        <w:t>wilderness parks and wilderness zones</w:t>
      </w:r>
    </w:p>
    <w:p w:rsidR="00D8255B" w:rsidRPr="00973AE3" w:rsidRDefault="00D8255B" w:rsidP="00D8255B">
      <w:pPr>
        <w:pStyle w:val="BULLETS"/>
        <w:spacing w:after="120"/>
        <w:ind w:left="426" w:hanging="426"/>
        <w:jc w:val="both"/>
        <w:rPr>
          <w:rFonts w:asciiTheme="minorHAnsi" w:hAnsiTheme="minorHAnsi"/>
          <w:color w:val="auto"/>
          <w:sz w:val="22"/>
          <w:szCs w:val="22"/>
        </w:rPr>
      </w:pPr>
      <w:r w:rsidRPr="00973AE3">
        <w:rPr>
          <w:rFonts w:asciiTheme="minorHAnsi" w:hAnsiTheme="minorHAnsi"/>
          <w:color w:val="auto"/>
          <w:sz w:val="22"/>
          <w:szCs w:val="22"/>
        </w:rPr>
        <w:t>•</w:t>
      </w:r>
      <w:r w:rsidRPr="00973AE3">
        <w:rPr>
          <w:rFonts w:asciiTheme="minorHAnsi" w:hAnsiTheme="minorHAnsi"/>
          <w:color w:val="auto"/>
          <w:sz w:val="22"/>
          <w:szCs w:val="22"/>
        </w:rPr>
        <w:tab/>
        <w:t xml:space="preserve">remote and natural areas </w:t>
      </w:r>
    </w:p>
    <w:p w:rsidR="00D8255B" w:rsidRPr="00973AE3" w:rsidRDefault="00D8255B" w:rsidP="00D8255B">
      <w:pPr>
        <w:pStyle w:val="BULLETS"/>
        <w:spacing w:after="120"/>
        <w:ind w:left="426" w:hanging="426"/>
        <w:jc w:val="both"/>
        <w:rPr>
          <w:rFonts w:asciiTheme="minorHAnsi" w:hAnsiTheme="minorHAnsi"/>
          <w:color w:val="auto"/>
          <w:sz w:val="22"/>
          <w:szCs w:val="22"/>
        </w:rPr>
      </w:pPr>
      <w:r w:rsidRPr="00973AE3">
        <w:rPr>
          <w:rFonts w:asciiTheme="minorHAnsi" w:hAnsiTheme="minorHAnsi"/>
          <w:color w:val="auto"/>
          <w:sz w:val="22"/>
          <w:szCs w:val="22"/>
        </w:rPr>
        <w:t>•</w:t>
      </w:r>
      <w:r w:rsidRPr="00973AE3">
        <w:rPr>
          <w:rFonts w:asciiTheme="minorHAnsi" w:hAnsiTheme="minorHAnsi"/>
          <w:color w:val="auto"/>
          <w:sz w:val="22"/>
          <w:szCs w:val="22"/>
        </w:rPr>
        <w:tab/>
        <w:t>closed water catchments in the Great Otway, Kinglake and Yarra Ranges national parks (known as designated water supply catchment</w:t>
      </w:r>
      <w:r>
        <w:rPr>
          <w:rFonts w:asciiTheme="minorHAnsi" w:hAnsiTheme="minorHAnsi"/>
          <w:color w:val="auto"/>
          <w:sz w:val="22"/>
          <w:szCs w:val="22"/>
        </w:rPr>
        <w:t xml:space="preserve"> area</w:t>
      </w:r>
      <w:r w:rsidRPr="00973AE3">
        <w:rPr>
          <w:rFonts w:asciiTheme="minorHAnsi" w:hAnsiTheme="minorHAnsi"/>
          <w:color w:val="auto"/>
          <w:sz w:val="22"/>
          <w:szCs w:val="22"/>
        </w:rPr>
        <w:t>s)</w:t>
      </w:r>
    </w:p>
    <w:p w:rsidR="00D8255B" w:rsidRPr="00973AE3" w:rsidRDefault="00D8255B" w:rsidP="00D8255B">
      <w:pPr>
        <w:pStyle w:val="BULLETS"/>
        <w:spacing w:after="120"/>
        <w:ind w:left="426" w:hanging="426"/>
        <w:jc w:val="both"/>
        <w:rPr>
          <w:rStyle w:val="Italic-light"/>
          <w:rFonts w:asciiTheme="minorHAnsi" w:eastAsiaTheme="minorHAnsi" w:hAnsiTheme="minorHAnsi"/>
          <w:sz w:val="22"/>
          <w:szCs w:val="22"/>
          <w:lang w:val="en-AU"/>
        </w:rPr>
      </w:pPr>
      <w:r w:rsidRPr="00973AE3">
        <w:rPr>
          <w:rFonts w:asciiTheme="minorHAnsi" w:hAnsiTheme="minorHAnsi"/>
          <w:color w:val="auto"/>
          <w:sz w:val="22"/>
          <w:szCs w:val="22"/>
        </w:rPr>
        <w:t>•</w:t>
      </w:r>
      <w:r w:rsidRPr="00973AE3">
        <w:rPr>
          <w:rFonts w:asciiTheme="minorHAnsi" w:hAnsiTheme="minorHAnsi"/>
          <w:color w:val="auto"/>
          <w:sz w:val="22"/>
          <w:szCs w:val="22"/>
        </w:rPr>
        <w:tab/>
        <w:t xml:space="preserve">natural catchment areas under the </w:t>
      </w:r>
      <w:r w:rsidRPr="00973AE3">
        <w:rPr>
          <w:rStyle w:val="Italic-light"/>
          <w:rFonts w:asciiTheme="minorHAnsi" w:hAnsiTheme="minorHAnsi"/>
          <w:sz w:val="22"/>
          <w:szCs w:val="22"/>
        </w:rPr>
        <w:t>Heritage Rivers Act 1992</w:t>
      </w:r>
    </w:p>
    <w:p w:rsidR="00D8255B" w:rsidRPr="00384329" w:rsidRDefault="00D8255B" w:rsidP="00D8255B">
      <w:pPr>
        <w:pStyle w:val="BULLETS"/>
        <w:spacing w:after="120"/>
        <w:ind w:left="426" w:hanging="426"/>
        <w:jc w:val="both"/>
        <w:rPr>
          <w:rFonts w:asciiTheme="minorHAnsi" w:hAnsiTheme="minorHAnsi"/>
          <w:color w:val="auto"/>
          <w:sz w:val="22"/>
          <w:szCs w:val="22"/>
        </w:rPr>
      </w:pPr>
      <w:r w:rsidRPr="00973AE3">
        <w:rPr>
          <w:rFonts w:asciiTheme="minorHAnsi" w:hAnsiTheme="minorHAnsi"/>
          <w:color w:val="auto"/>
          <w:sz w:val="22"/>
          <w:szCs w:val="22"/>
        </w:rPr>
        <w:lastRenderedPageBreak/>
        <w:t>•</w:t>
      </w:r>
      <w:r w:rsidRPr="00973AE3">
        <w:rPr>
          <w:rFonts w:asciiTheme="minorHAnsi" w:hAnsiTheme="minorHAnsi"/>
          <w:color w:val="auto"/>
          <w:sz w:val="22"/>
          <w:szCs w:val="22"/>
        </w:rPr>
        <w:tab/>
        <w:t>reference areas</w:t>
      </w:r>
      <w:r>
        <w:rPr>
          <w:rFonts w:asciiTheme="minorHAnsi" w:hAnsiTheme="minorHAnsi"/>
          <w:color w:val="auto"/>
          <w:sz w:val="22"/>
          <w:szCs w:val="22"/>
        </w:rPr>
        <w:t xml:space="preserve"> under the </w:t>
      </w:r>
      <w:r w:rsidRPr="00723B69">
        <w:rPr>
          <w:rFonts w:asciiTheme="minorHAnsi" w:hAnsiTheme="minorHAnsi"/>
          <w:i/>
          <w:color w:val="auto"/>
          <w:sz w:val="22"/>
          <w:szCs w:val="22"/>
        </w:rPr>
        <w:t>Reference Areas Act 1978</w:t>
      </w:r>
      <w:r w:rsidRPr="00973AE3">
        <w:rPr>
          <w:rFonts w:asciiTheme="minorHAnsi" w:hAnsiTheme="minorHAnsi"/>
          <w:color w:val="auto"/>
          <w:sz w:val="22"/>
          <w:szCs w:val="22"/>
        </w:rPr>
        <w:t>.</w:t>
      </w:r>
    </w:p>
    <w:p w:rsidR="00767F2D" w:rsidRDefault="00D8255B" w:rsidP="009D3CC4">
      <w:pPr>
        <w:pStyle w:val="NoSpacing"/>
        <w:spacing w:after="200" w:line="276" w:lineRule="auto"/>
        <w:jc w:val="both"/>
      </w:pPr>
      <w:r>
        <w:t>The policy</w:t>
      </w:r>
      <w:r w:rsidRPr="00842C26">
        <w:t xml:space="preserve"> </w:t>
      </w:r>
      <w:r>
        <w:t xml:space="preserve">guidance </w:t>
      </w:r>
      <w:r w:rsidRPr="00BA137A">
        <w:rPr>
          <w:b/>
        </w:rPr>
        <w:t>does not apply</w:t>
      </w:r>
      <w:r w:rsidRPr="00384329">
        <w:t xml:space="preserve"> to </w:t>
      </w:r>
      <w:r>
        <w:t>other</w:t>
      </w:r>
      <w:r w:rsidRPr="00384329">
        <w:t xml:space="preserve"> public land </w:t>
      </w:r>
      <w:r>
        <w:t xml:space="preserve">managed under other Crown land legislation such as the </w:t>
      </w:r>
      <w:r w:rsidRPr="00517EEE">
        <w:rPr>
          <w:i/>
        </w:rPr>
        <w:t xml:space="preserve">Crown Land </w:t>
      </w:r>
      <w:r>
        <w:rPr>
          <w:i/>
        </w:rPr>
        <w:t>(</w:t>
      </w:r>
      <w:r w:rsidRPr="00517EEE">
        <w:rPr>
          <w:i/>
        </w:rPr>
        <w:t>Reserves</w:t>
      </w:r>
      <w:r>
        <w:rPr>
          <w:i/>
        </w:rPr>
        <w:t>)</w:t>
      </w:r>
      <w:r w:rsidRPr="00517EEE">
        <w:rPr>
          <w:i/>
        </w:rPr>
        <w:t xml:space="preserve"> Act</w:t>
      </w:r>
      <w:r>
        <w:rPr>
          <w:i/>
        </w:rPr>
        <w:t xml:space="preserve"> 1978</w:t>
      </w:r>
      <w:r w:rsidRPr="00BA137A">
        <w:t>,</w:t>
      </w:r>
      <w:r w:rsidRPr="00517EEE">
        <w:rPr>
          <w:i/>
        </w:rPr>
        <w:t xml:space="preserve"> Forests Act</w:t>
      </w:r>
      <w:r>
        <w:rPr>
          <w:i/>
        </w:rPr>
        <w:t xml:space="preserve"> 1958</w:t>
      </w:r>
      <w:r w:rsidRPr="00BA137A">
        <w:t>,</w:t>
      </w:r>
      <w:r w:rsidRPr="00517EEE">
        <w:rPr>
          <w:i/>
        </w:rPr>
        <w:t xml:space="preserve"> Land Act</w:t>
      </w:r>
      <w:r>
        <w:rPr>
          <w:i/>
        </w:rPr>
        <w:t xml:space="preserve"> 1958</w:t>
      </w:r>
      <w:r w:rsidRPr="00517EEE">
        <w:rPr>
          <w:i/>
        </w:rPr>
        <w:t xml:space="preserve"> </w:t>
      </w:r>
      <w:r w:rsidRPr="00AD3A79">
        <w:t>and</w:t>
      </w:r>
      <w:r w:rsidRPr="00517EEE">
        <w:rPr>
          <w:i/>
        </w:rPr>
        <w:t xml:space="preserve"> Alpine Resorts </w:t>
      </w:r>
      <w:r>
        <w:rPr>
          <w:i/>
        </w:rPr>
        <w:t>(</w:t>
      </w:r>
      <w:r w:rsidRPr="00517EEE">
        <w:rPr>
          <w:i/>
        </w:rPr>
        <w:t>Management</w:t>
      </w:r>
      <w:r>
        <w:rPr>
          <w:i/>
        </w:rPr>
        <w:t>)</w:t>
      </w:r>
      <w:r w:rsidRPr="00517EEE">
        <w:rPr>
          <w:i/>
        </w:rPr>
        <w:t xml:space="preserve"> Act</w:t>
      </w:r>
      <w:r>
        <w:rPr>
          <w:i/>
        </w:rPr>
        <w:t xml:space="preserve"> 1997</w:t>
      </w:r>
      <w:r>
        <w:t xml:space="preserve">. </w:t>
      </w:r>
    </w:p>
    <w:p w:rsidR="00D8255B" w:rsidRPr="00A42B76" w:rsidRDefault="00D8255B" w:rsidP="00A42B76">
      <w:pPr>
        <w:pStyle w:val="Heading2"/>
        <w:spacing w:after="240"/>
        <w:rPr>
          <w:rFonts w:ascii="Calibri" w:hAnsi="Calibri"/>
          <w:i w:val="0"/>
          <w:color w:val="31849B" w:themeColor="accent5" w:themeShade="BF"/>
        </w:rPr>
      </w:pPr>
      <w:r w:rsidRPr="00A42B76">
        <w:rPr>
          <w:rFonts w:ascii="Calibri" w:hAnsi="Calibri"/>
          <w:i w:val="0"/>
          <w:color w:val="31849B" w:themeColor="accent5" w:themeShade="BF"/>
        </w:rPr>
        <w:t xml:space="preserve">Guiding principles </w:t>
      </w:r>
    </w:p>
    <w:p w:rsidR="00D8255B" w:rsidRPr="008430F9" w:rsidRDefault="00D8255B" w:rsidP="009440F1">
      <w:pPr>
        <w:spacing w:after="240"/>
        <w:jc w:val="both"/>
      </w:pPr>
      <w:r w:rsidRPr="00243245">
        <w:t xml:space="preserve">In national parks, government will generally provide any tourism </w:t>
      </w:r>
      <w:r>
        <w:t xml:space="preserve">and recreation infrastructure or </w:t>
      </w:r>
      <w:r w:rsidRPr="00243245">
        <w:t>facilities</w:t>
      </w:r>
      <w:r>
        <w:t xml:space="preserve"> aimed at improving the visitor experience</w:t>
      </w:r>
      <w:r w:rsidRPr="00243245">
        <w:t xml:space="preserve">. </w:t>
      </w:r>
      <w:r>
        <w:t xml:space="preserve">However, there may be occasions where </w:t>
      </w:r>
      <w:r w:rsidRPr="005B335D">
        <w:t>p</w:t>
      </w:r>
      <w:r w:rsidRPr="008430F9">
        <w:t xml:space="preserve">rivate investment could </w:t>
      </w:r>
      <w:r>
        <w:t>be utilised to</w:t>
      </w:r>
      <w:r w:rsidRPr="008430F9">
        <w:t xml:space="preserve"> fund</w:t>
      </w:r>
      <w:r>
        <w:t xml:space="preserve"> the installation of</w:t>
      </w:r>
      <w:r w:rsidRPr="008430F9">
        <w:t xml:space="preserve"> small scale visitor facilities in a manner which complements those that the government provides. </w:t>
      </w:r>
    </w:p>
    <w:p w:rsidR="00D8255B" w:rsidRPr="00243245" w:rsidRDefault="00D8255B" w:rsidP="009440F1">
      <w:pPr>
        <w:spacing w:after="240"/>
        <w:jc w:val="both"/>
      </w:pPr>
      <w:r>
        <w:t xml:space="preserve">An opportunity for private investment in a national park may either be identified by the government or relevant land manager, or instigated by an unsolicited proposal from a proponent. In either case, the government </w:t>
      </w:r>
      <w:r w:rsidRPr="00243245">
        <w:t xml:space="preserve">will </w:t>
      </w:r>
      <w:r>
        <w:t xml:space="preserve">either confirm or </w:t>
      </w:r>
      <w:r w:rsidRPr="00243245">
        <w:t xml:space="preserve">identify </w:t>
      </w:r>
      <w:r>
        <w:t xml:space="preserve">the best </w:t>
      </w:r>
      <w:r w:rsidRPr="00243245">
        <w:t xml:space="preserve">possible sites on public land that could facilitate </w:t>
      </w:r>
      <w:r>
        <w:t>the proposal</w:t>
      </w:r>
      <w:r w:rsidRPr="00243245">
        <w:t xml:space="preserve">. </w:t>
      </w:r>
      <w:r>
        <w:t xml:space="preserve">Where relevant, the proposal will be </w:t>
      </w:r>
      <w:r w:rsidRPr="00243245">
        <w:t xml:space="preserve">put forward for an Expression of Interest process that may entail co-investment by government. </w:t>
      </w:r>
    </w:p>
    <w:p w:rsidR="00D8255B" w:rsidRPr="00791B65" w:rsidRDefault="00D8255B" w:rsidP="009440F1">
      <w:pPr>
        <w:spacing w:after="240"/>
        <w:jc w:val="both"/>
      </w:pPr>
      <w:r w:rsidRPr="00243245">
        <w:t>The following guiding principles</w:t>
      </w:r>
      <w:r>
        <w:rPr>
          <w:rStyle w:val="FootnoteReference"/>
        </w:rPr>
        <w:footnoteReference w:id="1"/>
      </w:r>
      <w:r w:rsidRPr="00243245">
        <w:t xml:space="preserve"> and consultation requirements will be applied </w:t>
      </w:r>
      <w:r>
        <w:t>to</w:t>
      </w:r>
      <w:r w:rsidRPr="00243245">
        <w:t xml:space="preserve"> the government’s consideration of leasing requirements for </w:t>
      </w:r>
      <w:r>
        <w:t xml:space="preserve">any proposal for </w:t>
      </w:r>
      <w:r w:rsidRPr="00243245">
        <w:t>potential tourism and recreation facilities in national parks.</w:t>
      </w:r>
      <w:r>
        <w:t xml:space="preserve"> </w:t>
      </w:r>
    </w:p>
    <w:p w:rsidR="00D8255B" w:rsidRDefault="00D8255B" w:rsidP="00D8255B">
      <w:pPr>
        <w:pStyle w:val="ListParagraph"/>
        <w:numPr>
          <w:ilvl w:val="0"/>
          <w:numId w:val="25"/>
        </w:numPr>
        <w:spacing w:after="120"/>
        <w:ind w:hanging="357"/>
        <w:contextualSpacing w:val="0"/>
        <w:jc w:val="both"/>
      </w:pPr>
      <w:r>
        <w:t>The proposed facility must be shown to be dependent on its</w:t>
      </w:r>
      <w:r w:rsidRPr="00E646C5">
        <w:t xml:space="preserve"> unique</w:t>
      </w:r>
      <w:r w:rsidRPr="00BE16A8">
        <w:t xml:space="preserve"> location due to the nature of the site and </w:t>
      </w:r>
      <w:r w:rsidRPr="00E646C5">
        <w:t>its setting</w:t>
      </w:r>
      <w:r>
        <w:t xml:space="preserve"> </w:t>
      </w:r>
      <w:r w:rsidRPr="00BE16A8">
        <w:t xml:space="preserve">in a </w:t>
      </w:r>
      <w:r>
        <w:t xml:space="preserve">national </w:t>
      </w:r>
      <w:r w:rsidRPr="00BE16A8">
        <w:t>park.</w:t>
      </w:r>
      <w:r>
        <w:t xml:space="preserve"> A proposal that could </w:t>
      </w:r>
      <w:r w:rsidRPr="00E646C5">
        <w:t xml:space="preserve">be sited on </w:t>
      </w:r>
      <w:r w:rsidRPr="00BE16A8">
        <w:t xml:space="preserve">private land </w:t>
      </w:r>
      <w:r>
        <w:t>or public land outside parks would not progress.</w:t>
      </w:r>
    </w:p>
    <w:p w:rsidR="00D8255B" w:rsidRPr="00834F79" w:rsidRDefault="00D8255B" w:rsidP="00D8255B">
      <w:pPr>
        <w:pStyle w:val="ListParagraph"/>
        <w:numPr>
          <w:ilvl w:val="0"/>
          <w:numId w:val="25"/>
        </w:numPr>
        <w:spacing w:after="120"/>
        <w:ind w:hanging="357"/>
        <w:contextualSpacing w:val="0"/>
        <w:jc w:val="both"/>
      </w:pPr>
      <w:r w:rsidRPr="00834F79">
        <w:t xml:space="preserve">Any tourism development in national parks </w:t>
      </w:r>
      <w:r>
        <w:t xml:space="preserve">must </w:t>
      </w:r>
      <w:r w:rsidRPr="00834F79">
        <w:t xml:space="preserve">be located and designed to </w:t>
      </w:r>
      <w:r>
        <w:t>be</w:t>
      </w:r>
      <w:r w:rsidRPr="00834F79">
        <w:t xml:space="preserve"> compatib</w:t>
      </w:r>
      <w:r>
        <w:t>le</w:t>
      </w:r>
      <w:r w:rsidRPr="00834F79">
        <w:t xml:space="preserve"> with</w:t>
      </w:r>
      <w:r>
        <w:t xml:space="preserve"> protecting</w:t>
      </w:r>
      <w:r w:rsidRPr="00834F79">
        <w:t xml:space="preserve"> the natural and cultural values </w:t>
      </w:r>
      <w:r>
        <w:t xml:space="preserve">and features </w:t>
      </w:r>
      <w:r w:rsidRPr="00834F79">
        <w:t>of the park</w:t>
      </w:r>
      <w:r>
        <w:t>.</w:t>
      </w:r>
      <w:r w:rsidRPr="00834F79">
        <w:t xml:space="preserve"> </w:t>
      </w:r>
      <w:r>
        <w:t xml:space="preserve">The purpose of the development must be </w:t>
      </w:r>
      <w:r w:rsidRPr="00834F79">
        <w:t>consisten</w:t>
      </w:r>
      <w:r>
        <w:t>t</w:t>
      </w:r>
      <w:r w:rsidRPr="00834F79">
        <w:t xml:space="preserve"> with the legislative objective</w:t>
      </w:r>
      <w:r>
        <w:t xml:space="preserve">s and purpose of national parks. </w:t>
      </w:r>
    </w:p>
    <w:p w:rsidR="00D8255B" w:rsidRPr="00E07D74" w:rsidRDefault="00D8255B" w:rsidP="00D8255B">
      <w:pPr>
        <w:pStyle w:val="ListParagraph"/>
        <w:numPr>
          <w:ilvl w:val="0"/>
          <w:numId w:val="25"/>
        </w:numPr>
        <w:spacing w:after="120"/>
        <w:ind w:hanging="357"/>
        <w:contextualSpacing w:val="0"/>
        <w:jc w:val="both"/>
      </w:pPr>
      <w:r>
        <w:t xml:space="preserve">The development must provide an enhanced nature-based visitor experience and </w:t>
      </w:r>
      <w:r w:rsidRPr="001B4B59">
        <w:t>encourage visitors to appreciate and conserve the park</w:t>
      </w:r>
      <w:r>
        <w:t>.</w:t>
      </w:r>
    </w:p>
    <w:p w:rsidR="00D8255B" w:rsidRPr="00FC53B4" w:rsidRDefault="00D8255B" w:rsidP="00D8255B">
      <w:pPr>
        <w:pStyle w:val="ListParagraph"/>
        <w:numPr>
          <w:ilvl w:val="0"/>
          <w:numId w:val="25"/>
        </w:numPr>
        <w:spacing w:after="120"/>
        <w:ind w:hanging="357"/>
        <w:contextualSpacing w:val="0"/>
        <w:jc w:val="both"/>
      </w:pPr>
      <w:r w:rsidRPr="00FC53B4">
        <w:t xml:space="preserve">Any tourism development </w:t>
      </w:r>
      <w:r>
        <w:t>must</w:t>
      </w:r>
      <w:r w:rsidRPr="00FC53B4">
        <w:t xml:space="preserve"> provide the greatest public benefit for the site considering a</w:t>
      </w:r>
      <w:r>
        <w:t>ny</w:t>
      </w:r>
      <w:r w:rsidRPr="00FC53B4">
        <w:t xml:space="preserve"> environmental, social and economic outcomes for the park and t</w:t>
      </w:r>
      <w:r w:rsidR="00BC4941">
        <w:t>he broader region. The greatest</w:t>
      </w:r>
      <w:r w:rsidRPr="00FC53B4">
        <w:t xml:space="preserve"> public benefit will be determined by considering:</w:t>
      </w:r>
    </w:p>
    <w:p w:rsidR="00D8255B" w:rsidRDefault="00D8255B" w:rsidP="00D8255B">
      <w:pPr>
        <w:pStyle w:val="ListParagraph"/>
        <w:numPr>
          <w:ilvl w:val="0"/>
          <w:numId w:val="24"/>
        </w:numPr>
        <w:spacing w:after="120"/>
        <w:ind w:hanging="357"/>
        <w:contextualSpacing w:val="0"/>
        <w:jc w:val="both"/>
      </w:pPr>
      <w:r w:rsidRPr="00FC53B4">
        <w:t>environmental outcomes –</w:t>
      </w:r>
      <w:r>
        <w:t xml:space="preserve"> a development must</w:t>
      </w:r>
      <w:r w:rsidRPr="00E07D74">
        <w:t xml:space="preserve"> be established and managed in an </w:t>
      </w:r>
      <w:r>
        <w:t>ecologically sustainable way. This includes avoiding or minimising adverse environmental impacts and being consistent with the park management plan and any approved master plan. Certification of the development through an eco-accreditation scheme will also be preferred</w:t>
      </w:r>
    </w:p>
    <w:p w:rsidR="00D8255B" w:rsidRPr="00FC53B4" w:rsidRDefault="00D8255B" w:rsidP="00D8255B">
      <w:pPr>
        <w:pStyle w:val="ListParagraph"/>
        <w:numPr>
          <w:ilvl w:val="0"/>
          <w:numId w:val="24"/>
        </w:numPr>
        <w:spacing w:after="120"/>
        <w:ind w:hanging="357"/>
        <w:contextualSpacing w:val="0"/>
        <w:jc w:val="both"/>
      </w:pPr>
      <w:r w:rsidRPr="00FC53B4">
        <w:t xml:space="preserve">social outcomes – </w:t>
      </w:r>
      <w:r>
        <w:t>the proposal should demonstrate how the development will enhance understanding, appreciation and enjoyment of the park</w:t>
      </w:r>
    </w:p>
    <w:p w:rsidR="00D8255B" w:rsidRDefault="00D8255B" w:rsidP="00D8255B">
      <w:pPr>
        <w:pStyle w:val="ListParagraph"/>
        <w:numPr>
          <w:ilvl w:val="0"/>
          <w:numId w:val="24"/>
        </w:numPr>
        <w:spacing w:after="120"/>
        <w:ind w:hanging="357"/>
        <w:contextualSpacing w:val="0"/>
        <w:jc w:val="both"/>
      </w:pPr>
      <w:r w:rsidRPr="00FC53B4">
        <w:t>economic outcomes –</w:t>
      </w:r>
      <w:r>
        <w:t xml:space="preserve"> the development must provide </w:t>
      </w:r>
      <w:r w:rsidRPr="00506EF2">
        <w:t>broader economic benefits for the region and state</w:t>
      </w:r>
      <w:r>
        <w:t>, such as employment opportunities, indirect benefits from tourism and potential spend in complementary businesses.</w:t>
      </w:r>
    </w:p>
    <w:p w:rsidR="00D8255B" w:rsidRPr="00E45D7F" w:rsidRDefault="00D8255B" w:rsidP="00D8255B">
      <w:pPr>
        <w:pStyle w:val="ListParagraph"/>
        <w:numPr>
          <w:ilvl w:val="0"/>
          <w:numId w:val="25"/>
        </w:numPr>
        <w:spacing w:after="120"/>
        <w:ind w:hanging="357"/>
        <w:contextualSpacing w:val="0"/>
        <w:jc w:val="both"/>
      </w:pPr>
      <w:r>
        <w:lastRenderedPageBreak/>
        <w:t>D</w:t>
      </w:r>
      <w:r w:rsidRPr="00E45D7F">
        <w:t>evelopment</w:t>
      </w:r>
      <w:r>
        <w:t xml:space="preserve"> will not be allowed where it</w:t>
      </w:r>
      <w:r w:rsidRPr="00E45D7F">
        <w:t xml:space="preserve"> </w:t>
      </w:r>
      <w:r>
        <w:t xml:space="preserve">impacts on </w:t>
      </w:r>
      <w:r w:rsidRPr="00E45D7F">
        <w:t>Aboriginal cultural and historic heritage</w:t>
      </w:r>
      <w:r>
        <w:t xml:space="preserve">. Where relevant, the proponent must </w:t>
      </w:r>
      <w:r w:rsidRPr="001B4B59">
        <w:t>engage, involve and benefit Traditional Owners</w:t>
      </w:r>
      <w:r>
        <w:t xml:space="preserve"> </w:t>
      </w:r>
      <w:r w:rsidRPr="001B4B59">
        <w:t>and local communities</w:t>
      </w:r>
      <w:r>
        <w:t>.</w:t>
      </w:r>
    </w:p>
    <w:p w:rsidR="00D8255B" w:rsidRPr="004601EA" w:rsidRDefault="00D8255B" w:rsidP="00D8255B">
      <w:pPr>
        <w:pStyle w:val="ListParagraph"/>
        <w:numPr>
          <w:ilvl w:val="0"/>
          <w:numId w:val="25"/>
        </w:numPr>
        <w:spacing w:after="120"/>
        <w:ind w:hanging="357"/>
        <w:contextualSpacing w:val="0"/>
        <w:jc w:val="both"/>
      </w:pPr>
      <w:r w:rsidRPr="004601EA">
        <w:t xml:space="preserve">Public access to the site must be maintained, and potential adverse impacts on </w:t>
      </w:r>
      <w:r>
        <w:t xml:space="preserve">use and enjoyment of the park by </w:t>
      </w:r>
      <w:r w:rsidRPr="004601EA">
        <w:t>other park users must be</w:t>
      </w:r>
      <w:r>
        <w:t xml:space="preserve"> minimised</w:t>
      </w:r>
      <w:r w:rsidRPr="004601EA">
        <w:t>. Exceptions will be made during construction and for safety reasons.</w:t>
      </w:r>
    </w:p>
    <w:p w:rsidR="00D8255B" w:rsidRPr="004601EA" w:rsidRDefault="00D8255B" w:rsidP="00D8255B">
      <w:pPr>
        <w:pStyle w:val="ListParagraph"/>
        <w:numPr>
          <w:ilvl w:val="0"/>
          <w:numId w:val="25"/>
        </w:numPr>
        <w:spacing w:after="120"/>
        <w:ind w:hanging="357"/>
        <w:contextualSpacing w:val="0"/>
        <w:jc w:val="both"/>
      </w:pPr>
      <w:r w:rsidRPr="004601EA">
        <w:t>The government process for consider</w:t>
      </w:r>
      <w:r>
        <w:t>ing</w:t>
      </w:r>
      <w:r w:rsidRPr="004601EA">
        <w:t xml:space="preserve"> proposals will be consistent,</w:t>
      </w:r>
      <w:r>
        <w:t xml:space="preserve"> </w:t>
      </w:r>
      <w:r w:rsidRPr="004601EA">
        <w:t xml:space="preserve">transparent and appropriate to the nature, scale and location of the proposed development, while protecting the intellectual property of the proponent. </w:t>
      </w:r>
    </w:p>
    <w:p w:rsidR="00D8255B" w:rsidRPr="00B732AE" w:rsidRDefault="00D8255B" w:rsidP="00767F2D">
      <w:pPr>
        <w:pStyle w:val="ListParagraph"/>
        <w:numPr>
          <w:ilvl w:val="0"/>
          <w:numId w:val="25"/>
        </w:numPr>
        <w:spacing w:after="120"/>
        <w:ind w:hanging="357"/>
        <w:contextualSpacing w:val="0"/>
        <w:jc w:val="both"/>
      </w:pPr>
      <w:r w:rsidRPr="00C20B76">
        <w:t xml:space="preserve">Lease duration (up to </w:t>
      </w:r>
      <w:r>
        <w:t>21 years</w:t>
      </w:r>
      <w:r w:rsidRPr="00C20B76">
        <w:t xml:space="preserve">) for a tourism development will be commensurate </w:t>
      </w:r>
      <w:r>
        <w:t>with</w:t>
      </w:r>
      <w:r w:rsidRPr="00C20B76">
        <w:t xml:space="preserve"> the level and rate of return </w:t>
      </w:r>
      <w:r>
        <w:t xml:space="preserve">on </w:t>
      </w:r>
      <w:r w:rsidRPr="00C20B76">
        <w:t>investment, considering risk and capital and operating costs associated with the location</w:t>
      </w:r>
      <w:r>
        <w:t xml:space="preserve"> and the nature of the development and competition policy principles</w:t>
      </w:r>
      <w:r w:rsidRPr="00C20B76">
        <w:t xml:space="preserve">. </w:t>
      </w:r>
    </w:p>
    <w:p w:rsidR="00D8255B" w:rsidRPr="00A42B76" w:rsidRDefault="00D8255B" w:rsidP="00A42B76">
      <w:pPr>
        <w:pStyle w:val="Heading2"/>
        <w:spacing w:after="240"/>
        <w:rPr>
          <w:rFonts w:ascii="Calibri" w:hAnsi="Calibri"/>
          <w:i w:val="0"/>
          <w:color w:val="31849B" w:themeColor="accent5" w:themeShade="BF"/>
        </w:rPr>
      </w:pPr>
      <w:r w:rsidRPr="00A42B76">
        <w:rPr>
          <w:rFonts w:ascii="Calibri" w:hAnsi="Calibri"/>
          <w:i w:val="0"/>
          <w:color w:val="31849B" w:themeColor="accent5" w:themeShade="BF"/>
        </w:rPr>
        <w:t xml:space="preserve">Consultation </w:t>
      </w:r>
    </w:p>
    <w:p w:rsidR="00D8255B" w:rsidRDefault="00D8255B" w:rsidP="00D8255B">
      <w:pPr>
        <w:overflowPunct w:val="0"/>
        <w:autoSpaceDE w:val="0"/>
        <w:autoSpaceDN w:val="0"/>
        <w:adjustRightInd w:val="0"/>
        <w:jc w:val="both"/>
        <w:textAlignment w:val="baseline"/>
      </w:pPr>
      <w:r>
        <w:t>Any potential leasing proposal will be subject to early and ongoing consultation requirements during consideration of the nature and detail of any proposal so that all interested parties can input before a final decision is made to grant a lease</w:t>
      </w:r>
      <w:r w:rsidRPr="00AF25FC">
        <w:t xml:space="preserve">. </w:t>
      </w:r>
    </w:p>
    <w:p w:rsidR="00D8255B" w:rsidRDefault="00D8255B" w:rsidP="00D8255B">
      <w:pPr>
        <w:overflowPunct w:val="0"/>
        <w:autoSpaceDE w:val="0"/>
        <w:autoSpaceDN w:val="0"/>
        <w:adjustRightInd w:val="0"/>
        <w:spacing w:after="120"/>
        <w:jc w:val="both"/>
        <w:textAlignment w:val="baseline"/>
      </w:pPr>
      <w:r>
        <w:t>In particular the following consultation will be required:</w:t>
      </w:r>
    </w:p>
    <w:p w:rsidR="00D8255B" w:rsidRDefault="00D8255B" w:rsidP="00D8255B">
      <w:pPr>
        <w:pStyle w:val="NoSpacing"/>
        <w:numPr>
          <w:ilvl w:val="0"/>
          <w:numId w:val="26"/>
        </w:numPr>
        <w:spacing w:after="120" w:line="276" w:lineRule="auto"/>
        <w:jc w:val="both"/>
      </w:pPr>
      <w:r>
        <w:t>National Parks Advisory Council</w:t>
      </w:r>
    </w:p>
    <w:p w:rsidR="00D8255B" w:rsidRDefault="00D8255B" w:rsidP="00D8255B">
      <w:pPr>
        <w:pStyle w:val="NoSpacing"/>
        <w:spacing w:after="120" w:line="276" w:lineRule="auto"/>
        <w:ind w:left="360"/>
        <w:jc w:val="both"/>
      </w:pPr>
      <w:r>
        <w:t>T</w:t>
      </w:r>
      <w:r w:rsidRPr="00506EF2">
        <w:t xml:space="preserve">he </w:t>
      </w:r>
      <w:r>
        <w:t xml:space="preserve">Minister must formally consult the </w:t>
      </w:r>
      <w:r w:rsidRPr="00506EF2">
        <w:t xml:space="preserve">National Parks Advisory Council </w:t>
      </w:r>
      <w:r>
        <w:t xml:space="preserve">on a proposal </w:t>
      </w:r>
      <w:r w:rsidRPr="00506EF2">
        <w:t>before a</w:t>
      </w:r>
      <w:r>
        <w:t>ny</w:t>
      </w:r>
      <w:r w:rsidRPr="00506EF2">
        <w:t xml:space="preserve"> lease is granted</w:t>
      </w:r>
      <w:r>
        <w:t>. Comments received from the Council will be taken into account in assessing a proposal and determining any conditions to attach to a lease.</w:t>
      </w:r>
    </w:p>
    <w:p w:rsidR="00D8255B" w:rsidRDefault="00D8255B" w:rsidP="00D8255B">
      <w:pPr>
        <w:pStyle w:val="NoSpacing"/>
        <w:numPr>
          <w:ilvl w:val="0"/>
          <w:numId w:val="26"/>
        </w:numPr>
        <w:spacing w:after="120" w:line="276" w:lineRule="auto"/>
        <w:jc w:val="both"/>
      </w:pPr>
      <w:r>
        <w:t>Traditional Owners</w:t>
      </w:r>
    </w:p>
    <w:p w:rsidR="00D8255B" w:rsidRPr="00375202" w:rsidRDefault="00D8255B" w:rsidP="00D8255B">
      <w:pPr>
        <w:pStyle w:val="NoSpacing"/>
        <w:spacing w:after="120" w:line="276" w:lineRule="auto"/>
        <w:ind w:left="360"/>
        <w:jc w:val="both"/>
      </w:pPr>
      <w:r>
        <w:t xml:space="preserve">Where relevant, </w:t>
      </w:r>
      <w:r w:rsidRPr="00506EF2">
        <w:t>Traditional Owners</w:t>
      </w:r>
      <w:r>
        <w:t xml:space="preserve"> must be consulted</w:t>
      </w:r>
      <w:r w:rsidRPr="00506EF2">
        <w:t xml:space="preserve"> particularly where the area is subject to settlements under the </w:t>
      </w:r>
      <w:r w:rsidRPr="00675DC9">
        <w:rPr>
          <w:i/>
        </w:rPr>
        <w:t>Native Title Act 1993</w:t>
      </w:r>
      <w:r w:rsidRPr="00375202">
        <w:t xml:space="preserve"> </w:t>
      </w:r>
      <w:r>
        <w:t>or</w:t>
      </w:r>
      <w:r w:rsidRPr="00506EF2">
        <w:t xml:space="preserve"> the</w:t>
      </w:r>
      <w:r w:rsidRPr="00375202">
        <w:t xml:space="preserve"> </w:t>
      </w:r>
      <w:r w:rsidRPr="00675DC9">
        <w:rPr>
          <w:i/>
        </w:rPr>
        <w:t>Traditional Owner Settlement Act 2010</w:t>
      </w:r>
      <w:r w:rsidRPr="00506EF2">
        <w:t xml:space="preserve"> and where they have responsibilities under the </w:t>
      </w:r>
      <w:r w:rsidRPr="00517EEE">
        <w:rPr>
          <w:i/>
        </w:rPr>
        <w:t>Aboriginal Heritage Act 2006</w:t>
      </w:r>
      <w:r>
        <w:t xml:space="preserve">. </w:t>
      </w:r>
    </w:p>
    <w:p w:rsidR="00D8255B" w:rsidRDefault="00D8255B" w:rsidP="00D8255B">
      <w:pPr>
        <w:pStyle w:val="ListParagraph"/>
        <w:numPr>
          <w:ilvl w:val="0"/>
          <w:numId w:val="27"/>
        </w:numPr>
        <w:spacing w:after="120"/>
        <w:jc w:val="both"/>
      </w:pPr>
      <w:r>
        <w:t xml:space="preserve">Public consultation </w:t>
      </w:r>
    </w:p>
    <w:p w:rsidR="00D8255B" w:rsidRDefault="00D8255B" w:rsidP="00D8255B">
      <w:pPr>
        <w:spacing w:after="120"/>
        <w:ind w:left="360"/>
        <w:jc w:val="both"/>
      </w:pPr>
      <w:r>
        <w:t>P</w:t>
      </w:r>
      <w:r w:rsidRPr="00506EF2">
        <w:t xml:space="preserve">ublic consultation </w:t>
      </w:r>
      <w:r>
        <w:t>will be</w:t>
      </w:r>
      <w:r w:rsidRPr="00506EF2">
        <w:t xml:space="preserve"> </w:t>
      </w:r>
      <w:r>
        <w:t xml:space="preserve">an important part of government’s process to consider any proposal to allow public review, comment and refinement of the development concepts. Before deciding to grant a lease, the government will conduct a formal public consultation process. This will include, at the initial stages of the process, consulting on the nature of the proposal as well as consulting during subsequent stages on the terms of the lease. Public </w:t>
      </w:r>
      <w:r w:rsidRPr="00AF25FC">
        <w:t>consultation may include</w:t>
      </w:r>
      <w:r>
        <w:t xml:space="preserve">: </w:t>
      </w:r>
    </w:p>
    <w:p w:rsidR="00D8255B" w:rsidRDefault="00D8255B" w:rsidP="00D8255B">
      <w:pPr>
        <w:pStyle w:val="NoSpacing"/>
        <w:numPr>
          <w:ilvl w:val="1"/>
          <w:numId w:val="27"/>
        </w:numPr>
        <w:spacing w:after="120" w:line="276" w:lineRule="auto"/>
        <w:ind w:left="709"/>
        <w:jc w:val="both"/>
      </w:pPr>
      <w:r>
        <w:t>publishing a public notice advising of the commencement of public consultation, including a summary of the proposal and associated leasing requirements, how a person may lodge a submission and any deadlines for submission</w:t>
      </w:r>
    </w:p>
    <w:p w:rsidR="00D8255B" w:rsidRDefault="00D8255B" w:rsidP="00D8255B">
      <w:pPr>
        <w:pStyle w:val="NoSpacing"/>
        <w:numPr>
          <w:ilvl w:val="1"/>
          <w:numId w:val="27"/>
        </w:numPr>
        <w:spacing w:after="120" w:line="276" w:lineRule="auto"/>
        <w:ind w:left="709"/>
        <w:jc w:val="both"/>
      </w:pPr>
      <w:r>
        <w:t>holding public meetings or events to provide information on a proposal to interested members of the community, details of which must be included within a public notice</w:t>
      </w:r>
    </w:p>
    <w:p w:rsidR="00D8255B" w:rsidRDefault="00D8255B" w:rsidP="00D8255B">
      <w:pPr>
        <w:pStyle w:val="NoSpacing"/>
        <w:numPr>
          <w:ilvl w:val="1"/>
          <w:numId w:val="27"/>
        </w:numPr>
        <w:spacing w:after="120" w:line="276" w:lineRule="auto"/>
        <w:ind w:left="709"/>
        <w:jc w:val="both"/>
      </w:pPr>
      <w:r>
        <w:t>direct consultation with stakeholders identified as having an interest in the proposal</w:t>
      </w:r>
    </w:p>
    <w:p w:rsidR="00D8255B" w:rsidRDefault="00D8255B" w:rsidP="00D8255B">
      <w:pPr>
        <w:pStyle w:val="NoSpacing"/>
        <w:numPr>
          <w:ilvl w:val="1"/>
          <w:numId w:val="27"/>
        </w:numPr>
        <w:spacing w:after="120" w:line="276" w:lineRule="auto"/>
        <w:ind w:left="709"/>
        <w:jc w:val="both"/>
      </w:pPr>
      <w:r>
        <w:t xml:space="preserve">publishing the outcomes of consultation. </w:t>
      </w:r>
    </w:p>
    <w:p w:rsidR="00D8255B" w:rsidRDefault="00D8255B" w:rsidP="009440F1">
      <w:pPr>
        <w:jc w:val="both"/>
      </w:pPr>
      <w:r>
        <w:t>Any submissions and comments received during a consultation process will be taken into account by the minister when assessing a proposal and deciding whether or not to grant a lease.</w:t>
      </w:r>
    </w:p>
    <w:p w:rsidR="009440F1" w:rsidRDefault="009440F1" w:rsidP="00D8255B">
      <w:pPr>
        <w:overflowPunct w:val="0"/>
        <w:autoSpaceDE w:val="0"/>
        <w:autoSpaceDN w:val="0"/>
        <w:adjustRightInd w:val="0"/>
        <w:jc w:val="both"/>
        <w:textAlignment w:val="baseline"/>
      </w:pPr>
    </w:p>
    <w:p w:rsidR="00D8255B" w:rsidRDefault="00D8255B" w:rsidP="009440F1">
      <w:pPr>
        <w:overflowPunct w:val="0"/>
        <w:autoSpaceDE w:val="0"/>
        <w:autoSpaceDN w:val="0"/>
        <w:adjustRightInd w:val="0"/>
        <w:spacing w:after="240"/>
        <w:jc w:val="both"/>
        <w:textAlignment w:val="baseline"/>
      </w:pPr>
      <w:r>
        <w:t xml:space="preserve">Consultation as part of any other necessary consents and approvals, such as under the relevant planning scheme, may also be required. For example, if a planning scheme amendment or planning permit are required, the development proponent will need to lodge an application with the relevant planning authority. Once an application is lodged, consultation will be undertaken by the relevant planning authority in accordance with the </w:t>
      </w:r>
      <w:r>
        <w:rPr>
          <w:i/>
        </w:rPr>
        <w:t xml:space="preserve">Planning and Environment Act </w:t>
      </w:r>
      <w:r w:rsidRPr="0010203E">
        <w:rPr>
          <w:i/>
        </w:rPr>
        <w:t>1997</w:t>
      </w:r>
      <w:r>
        <w:t xml:space="preserve">. </w:t>
      </w:r>
    </w:p>
    <w:p w:rsidR="00D8255B" w:rsidRDefault="00D8255B" w:rsidP="00D8255B">
      <w:pPr>
        <w:overflowPunct w:val="0"/>
        <w:autoSpaceDE w:val="0"/>
        <w:autoSpaceDN w:val="0"/>
        <w:adjustRightInd w:val="0"/>
        <w:jc w:val="both"/>
        <w:textAlignment w:val="baseline"/>
      </w:pPr>
      <w:r>
        <w:t>Where notice of a development proposal is required by the planning scheme, m</w:t>
      </w:r>
      <w:r w:rsidRPr="0010203E">
        <w:t>embers</w:t>
      </w:r>
      <w:r>
        <w:t xml:space="preserve"> of the community who may be affected by the proposal can inspect the plans and make a submission about the application to the relevant planning authority if they have concerns about it. An objector to a planning application also has the right to have a planning decision reviewed in the Victorian Civil and Administrative Tribunal. </w:t>
      </w:r>
    </w:p>
    <w:p w:rsidR="004A4A54" w:rsidRDefault="004A4A54" w:rsidP="00D8255B">
      <w:pPr>
        <w:overflowPunct w:val="0"/>
        <w:autoSpaceDE w:val="0"/>
        <w:autoSpaceDN w:val="0"/>
        <w:adjustRightInd w:val="0"/>
        <w:jc w:val="both"/>
        <w:textAlignment w:val="baseline"/>
      </w:pPr>
    </w:p>
    <w:p w:rsidR="00D8255B" w:rsidRDefault="00D8255B" w:rsidP="00A42B76">
      <w:pPr>
        <w:overflowPunct w:val="0"/>
        <w:autoSpaceDE w:val="0"/>
        <w:autoSpaceDN w:val="0"/>
        <w:adjustRightInd w:val="0"/>
        <w:jc w:val="both"/>
        <w:textAlignment w:val="baseline"/>
        <w:rPr>
          <w:b/>
        </w:rPr>
      </w:pPr>
      <w:r>
        <w:t xml:space="preserve">More information regarding the planning consultation processes can be found </w:t>
      </w:r>
      <w:r w:rsidR="00B732AE">
        <w:t xml:space="preserve">at: </w:t>
      </w:r>
      <w:hyperlink r:id="rId20" w:history="1">
        <w:r w:rsidRPr="00260C4D">
          <w:rPr>
            <w:rStyle w:val="Hyperlink"/>
            <w:rFonts w:asciiTheme="minorHAnsi" w:hAnsiTheme="minorHAnsi"/>
          </w:rPr>
          <w:t>http://www.dtpli.vic.gov.au/planning/about-planning/consultations</w:t>
        </w:r>
      </w:hyperlink>
      <w:r>
        <w:t xml:space="preserve">. </w:t>
      </w:r>
    </w:p>
    <w:p w:rsidR="006858DC" w:rsidRDefault="006858DC" w:rsidP="00767F2D">
      <w:pPr>
        <w:pStyle w:val="Caption"/>
        <w:rPr>
          <w:b w:val="0"/>
        </w:rPr>
      </w:pPr>
    </w:p>
    <w:p w:rsidR="006858DC" w:rsidRDefault="006858DC" w:rsidP="00767F2D">
      <w:pPr>
        <w:pStyle w:val="Caption"/>
        <w:rPr>
          <w:b w:val="0"/>
        </w:rPr>
      </w:pPr>
    </w:p>
    <w:p w:rsidR="006858DC" w:rsidRPr="00D8255B" w:rsidRDefault="006858DC" w:rsidP="00767F2D">
      <w:pPr>
        <w:pStyle w:val="Caption"/>
        <w:rPr>
          <w:b w:val="0"/>
        </w:rPr>
      </w:pPr>
    </w:p>
    <w:tbl>
      <w:tblPr>
        <w:tblW w:w="5016" w:type="pct"/>
        <w:jc w:val="center"/>
        <w:tblLayout w:type="fixed"/>
        <w:tblLook w:val="01E0" w:firstRow="1" w:lastRow="1" w:firstColumn="1" w:lastColumn="1" w:noHBand="0" w:noVBand="0"/>
      </w:tblPr>
      <w:tblGrid>
        <w:gridCol w:w="9670"/>
      </w:tblGrid>
      <w:tr w:rsidR="00767F2D" w:rsidTr="006858DC">
        <w:trPr>
          <w:trHeight w:hRule="exact" w:val="7236"/>
          <w:jc w:val="center"/>
        </w:trPr>
        <w:tc>
          <w:tcPr>
            <w:tcW w:w="9669" w:type="dxa"/>
            <w:shd w:val="clear" w:color="auto" w:fill="auto"/>
            <w:tcMar>
              <w:left w:w="0" w:type="dxa"/>
              <w:right w:w="0" w:type="dxa"/>
            </w:tcMar>
          </w:tcPr>
          <w:p w:rsidR="00767F2D" w:rsidRDefault="006858DC" w:rsidP="00055FB4">
            <w:r>
              <w:rPr>
                <w:noProof/>
                <w:lang w:eastAsia="en-AU"/>
              </w:rPr>
              <w:drawing>
                <wp:inline distT="0" distB="0" distL="0" distR="0" wp14:anchorId="37D70B1C" wp14:editId="4FD1FFFF">
                  <wp:extent cx="6347038" cy="4248150"/>
                  <wp:effectExtent l="0" t="0" r="0" b="0"/>
                  <wp:docPr id="8" name="Picture 8" descr="O:\_archive\Land and Biodiversity White Paper\Project Management\Images\Misheye\619_Misheye17100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_archive\Land and Biodiversity White Paper\Project Management\Images\Misheye\619_Misheye171007.4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3020" cy="4252154"/>
                          </a:xfrm>
                          <a:prstGeom prst="rect">
                            <a:avLst/>
                          </a:prstGeom>
                          <a:noFill/>
                          <a:ln>
                            <a:noFill/>
                          </a:ln>
                        </pic:spPr>
                      </pic:pic>
                    </a:graphicData>
                  </a:graphic>
                </wp:inline>
              </w:drawing>
            </w:r>
          </w:p>
        </w:tc>
      </w:tr>
    </w:tbl>
    <w:p w:rsidR="008A7E20" w:rsidRDefault="008A7E20" w:rsidP="00590EF3"/>
    <w:p w:rsidR="009F61FE" w:rsidRDefault="009F61FE" w:rsidP="003917F9">
      <w:pPr>
        <w:sectPr w:rsidR="009F61FE" w:rsidSect="00E761BA">
          <w:footerReference w:type="default" r:id="rId22"/>
          <w:footerReference w:type="first" r:id="rId23"/>
          <w:pgSz w:w="11907" w:h="16840" w:code="9"/>
          <w:pgMar w:top="1134" w:right="1134" w:bottom="1134" w:left="1134" w:header="709" w:footer="567" w:gutter="0"/>
          <w:cols w:space="708"/>
          <w:formProt w:val="0"/>
          <w:titlePg/>
          <w:docGrid w:linePitch="360"/>
        </w:sectPr>
      </w:pPr>
    </w:p>
    <w:p w:rsidR="006C2C00" w:rsidRDefault="006C2C00" w:rsidP="003917F9"/>
    <w:p w:rsidR="006C2C00" w:rsidRDefault="006C2C00" w:rsidP="003917F9"/>
    <w:p w:rsidR="006C2C00" w:rsidRDefault="006C2C00" w:rsidP="003917F9">
      <w:pPr>
        <w:sectPr w:rsidR="006C2C00" w:rsidSect="003917F9">
          <w:headerReference w:type="first" r:id="rId24"/>
          <w:footerReference w:type="first" r:id="rId25"/>
          <w:pgSz w:w="11907" w:h="16840" w:code="9"/>
          <w:pgMar w:top="1134" w:right="1134" w:bottom="1134" w:left="1134" w:header="709" w:footer="567" w:gutter="0"/>
          <w:pgNumType w:start="1"/>
          <w:cols w:space="708"/>
          <w:formProt w:val="0"/>
          <w:titlePg/>
          <w:docGrid w:linePitch="360"/>
        </w:sectPr>
      </w:pPr>
    </w:p>
    <w:p w:rsidR="009F61FE" w:rsidRDefault="009F61FE" w:rsidP="003917F9"/>
    <w:sectPr w:rsidR="009F61FE"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FC9" w:rsidRDefault="00752FC9">
      <w:r>
        <w:separator/>
      </w:r>
    </w:p>
  </w:endnote>
  <w:endnote w:type="continuationSeparator" w:id="0">
    <w:p w:rsidR="00752FC9" w:rsidRDefault="00752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Lt">
    <w:altName w:val="HelveticaNeueLT Std Lt"/>
    <w:panose1 w:val="00000000000000000000"/>
    <w:charset w:val="00"/>
    <w:family w:val="swiss"/>
    <w:notTrueType/>
    <w:pitch w:val="default"/>
    <w:sig w:usb0="00000003" w:usb1="00000000" w:usb2="00000000" w:usb3="00000000" w:csb0="00000001" w:csb1="00000000"/>
  </w:font>
  <w:font w:name="HelveticaNeueLT Std Lt">
    <w:altName w:val="Times New Roman"/>
    <w:panose1 w:val="00000000000000000000"/>
    <w:charset w:val="00"/>
    <w:family w:val="swiss"/>
    <w:notTrueType/>
    <w:pitch w:val="default"/>
    <w:sig w:usb0="00000003" w:usb1="00000000" w:usb2="00000000" w:usb3="00000000" w:csb0="00000001" w:csb1="00000000"/>
  </w:font>
  <w:font w:name="HelveticaNeueLTStd-LtIt">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A87" w:rsidRDefault="00313D35" w:rsidP="00207A7C">
    <w:pPr>
      <w:pStyle w:val="Footer"/>
    </w:pPr>
    <w:r>
      <w:rPr>
        <w:noProof/>
        <w:lang w:eastAsia="en-AU"/>
      </w:rPr>
      <w:drawing>
        <wp:anchor distT="0" distB="0" distL="114300" distR="114300" simplePos="0" relativeHeight="251661312" behindDoc="0" locked="0" layoutInCell="1" allowOverlap="1" wp14:anchorId="584824E9" wp14:editId="62BCDEA0">
          <wp:simplePos x="0" y="0"/>
          <wp:positionH relativeFrom="column">
            <wp:posOffset>4573129</wp:posOffset>
          </wp:positionH>
          <wp:positionV relativeFrom="paragraph">
            <wp:posOffset>-121648</wp:posOffset>
          </wp:positionV>
          <wp:extent cx="1861200" cy="540000"/>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A4C" w:rsidRDefault="00607A4C"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7A4C" w:rsidRDefault="00607A4C" w:rsidP="00607A4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EE" w:rsidRDefault="00A74AEE" w:rsidP="003415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55B" w:rsidRPr="00D8255B" w:rsidRDefault="00D8255B" w:rsidP="00D8255B">
    <w:pPr>
      <w:pStyle w:val="HA"/>
      <w:jc w:val="center"/>
      <w:rPr>
        <w:b/>
        <w:sz w:val="16"/>
        <w:szCs w:val="16"/>
      </w:rPr>
    </w:pPr>
    <w:r w:rsidRPr="00D8255B">
      <w:rPr>
        <w:b/>
        <w:sz w:val="16"/>
        <w:szCs w:val="16"/>
      </w:rPr>
      <w:t>Tourism Leases in National Parks: Guidance Note</w:t>
    </w:r>
  </w:p>
  <w:p w:rsidR="00DE01BF" w:rsidRPr="00A60CCB" w:rsidRDefault="00DE01BF"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BC4941">
      <w:rPr>
        <w:rStyle w:val="zRptPgNum"/>
        <w:noProof/>
      </w:rPr>
      <w:t>5</w:t>
    </w:r>
    <w:r w:rsidRPr="00A60CCB">
      <w:rPr>
        <w:rStyle w:val="zRptPgNum"/>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55B" w:rsidRPr="00D8255B" w:rsidRDefault="00D8255B" w:rsidP="00D8255B">
    <w:pPr>
      <w:pStyle w:val="HA"/>
      <w:jc w:val="center"/>
      <w:rPr>
        <w:b/>
        <w:sz w:val="16"/>
        <w:szCs w:val="16"/>
      </w:rPr>
    </w:pPr>
    <w:r w:rsidRPr="00D8255B">
      <w:rPr>
        <w:b/>
        <w:sz w:val="16"/>
        <w:szCs w:val="16"/>
      </w:rPr>
      <w:t>Tourism Leases in National Parks: Guidance Note</w:t>
    </w:r>
  </w:p>
  <w:p w:rsidR="00DE01BF" w:rsidRPr="00A60CCB" w:rsidRDefault="00DE01BF"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BC4941">
      <w:rPr>
        <w:rStyle w:val="zRptPgNum"/>
        <w:noProof/>
      </w:rPr>
      <w:t>2</w:t>
    </w:r>
    <w:r w:rsidRPr="00A60CCB">
      <w:rPr>
        <w:rStyle w:val="zRptPgNum"/>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1FE" w:rsidRPr="009F61FE" w:rsidRDefault="000F64DD" w:rsidP="009F61FE">
    <w:pPr>
      <w:pStyle w:val="Footer"/>
      <w:rPr>
        <w:rStyle w:val="zRptPgNum"/>
        <w:color w:val="auto"/>
      </w:rPr>
    </w:pPr>
    <w:r>
      <w:rPr>
        <w:noProof/>
        <w:lang w:eastAsia="en-AU"/>
      </w:rPr>
      <mc:AlternateContent>
        <mc:Choice Requires="wps">
          <w:drawing>
            <wp:anchor distT="0" distB="0" distL="114300" distR="114300" simplePos="0" relativeHeight="251658240" behindDoc="0" locked="0" layoutInCell="1" allowOverlap="1" wp14:anchorId="6CA590FF" wp14:editId="26B8730F">
              <wp:simplePos x="0" y="0"/>
              <wp:positionH relativeFrom="column">
                <wp:posOffset>368935</wp:posOffset>
              </wp:positionH>
              <wp:positionV relativeFrom="paragraph">
                <wp:posOffset>-2204720</wp:posOffset>
              </wp:positionV>
              <wp:extent cx="2966720" cy="14732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CCB" w:rsidRDefault="00A60CCB">
                          <w:pPr>
                            <w:rPr>
                              <w:rFonts w:ascii="Arial" w:hAnsi="Arial" w:cs="Arial"/>
                              <w:color w:val="FFFFFF"/>
                            </w:rPr>
                          </w:pPr>
                        </w:p>
                        <w:p w:rsidR="00A60CCB" w:rsidRDefault="00A60CCB">
                          <w:pPr>
                            <w:rPr>
                              <w:rFonts w:ascii="Arial" w:hAnsi="Arial" w:cs="Arial"/>
                              <w:color w:val="FFFFFF"/>
                            </w:rPr>
                          </w:pPr>
                        </w:p>
                        <w:p w:rsidR="00A60CCB" w:rsidRDefault="00A60CCB">
                          <w:pPr>
                            <w:rPr>
                              <w:rFonts w:ascii="Arial" w:hAnsi="Arial" w:cs="Arial"/>
                              <w:color w:val="FFFFFF"/>
                            </w:rPr>
                          </w:pPr>
                        </w:p>
                        <w:p w:rsidR="00A60CCB" w:rsidRDefault="00A60CCB">
                          <w:pPr>
                            <w:rPr>
                              <w:rFonts w:ascii="Arial" w:hAnsi="Arial" w:cs="Arial"/>
                              <w:color w:val="FFFFFF"/>
                            </w:rPr>
                          </w:pPr>
                        </w:p>
                        <w:p w:rsidR="00A60CCB" w:rsidRDefault="00A60CCB">
                          <w:pPr>
                            <w:rPr>
                              <w:rFonts w:ascii="Arial" w:hAnsi="Arial" w:cs="Arial"/>
                              <w:color w:val="FFFFFF"/>
                            </w:rPr>
                          </w:pPr>
                        </w:p>
                        <w:p w:rsidR="00257BF1" w:rsidRPr="0090189E" w:rsidRDefault="00A60CCB">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590FF" id="_x0000_t202" coordsize="21600,21600" o:spt="202" path="m,l,21600r21600,l21600,xe">
              <v:stroke joinstyle="miter"/>
              <v:path gradientshapeok="t" o:connecttype="rect"/>
            </v:shapetype>
            <v:shape id="Text Box 8" o:spid="_x0000_s1027" type="#_x0000_t202" style="position:absolute;margin-left:29.05pt;margin-top:-173.6pt;width:233.6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P0rwIAALo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" filled="f" stroked="f">
              <v:textbox inset=",7.2pt,,7.2pt">
                <w:txbxContent>
                  <w:p w:rsidR="00A60CCB" w:rsidRDefault="00A60CCB">
                    <w:pPr>
                      <w:rPr>
                        <w:rFonts w:ascii="Arial" w:hAnsi="Arial" w:cs="Arial"/>
                        <w:color w:val="FFFFFF"/>
                      </w:rPr>
                    </w:pPr>
                  </w:p>
                  <w:p w:rsidR="00A60CCB" w:rsidRDefault="00A60CCB">
                    <w:pPr>
                      <w:rPr>
                        <w:rFonts w:ascii="Arial" w:hAnsi="Arial" w:cs="Arial"/>
                        <w:color w:val="FFFFFF"/>
                      </w:rPr>
                    </w:pPr>
                  </w:p>
                  <w:p w:rsidR="00A60CCB" w:rsidRDefault="00A60CCB">
                    <w:pPr>
                      <w:rPr>
                        <w:rFonts w:ascii="Arial" w:hAnsi="Arial" w:cs="Arial"/>
                        <w:color w:val="FFFFFF"/>
                      </w:rPr>
                    </w:pPr>
                  </w:p>
                  <w:p w:rsidR="00A60CCB" w:rsidRDefault="00A60CCB">
                    <w:pPr>
                      <w:rPr>
                        <w:rFonts w:ascii="Arial" w:hAnsi="Arial" w:cs="Arial"/>
                        <w:color w:val="FFFFFF"/>
                      </w:rPr>
                    </w:pPr>
                  </w:p>
                  <w:p w:rsidR="00A60CCB" w:rsidRDefault="00A60CCB">
                    <w:pPr>
                      <w:rPr>
                        <w:rFonts w:ascii="Arial" w:hAnsi="Arial" w:cs="Arial"/>
                        <w:color w:val="FFFFFF"/>
                      </w:rPr>
                    </w:pPr>
                  </w:p>
                  <w:p w:rsidR="00257BF1" w:rsidRPr="0090189E" w:rsidRDefault="00A60CCB">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FC9" w:rsidRPr="00D07E53" w:rsidRDefault="00752FC9">
      <w:pPr>
        <w:rPr>
          <w:color w:val="FFFFFF"/>
        </w:rPr>
      </w:pPr>
      <w:r w:rsidRPr="00D07E53">
        <w:rPr>
          <w:color w:val="FFFFFF"/>
        </w:rPr>
        <w:separator/>
      </w:r>
    </w:p>
  </w:footnote>
  <w:footnote w:type="continuationSeparator" w:id="0">
    <w:p w:rsidR="00752FC9" w:rsidRDefault="00752FC9">
      <w:r>
        <w:continuationSeparator/>
      </w:r>
    </w:p>
  </w:footnote>
  <w:footnote w:id="1">
    <w:p w:rsidR="00D8255B" w:rsidRDefault="00D8255B" w:rsidP="00D8255B">
      <w:pPr>
        <w:pStyle w:val="FootnoteText"/>
      </w:pPr>
      <w:r>
        <w:rPr>
          <w:rStyle w:val="FootnoteReference"/>
        </w:rPr>
        <w:footnoteRef/>
      </w:r>
      <w:r>
        <w:t xml:space="preserve"> These guiding principles are not expressed in order of priority and are to be applied equally.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BF1" w:rsidRDefault="000F64DD">
    <w:pPr>
      <w:pStyle w:val="Header"/>
    </w:pPr>
    <w:r>
      <w:rPr>
        <w:noProof/>
        <w:lang w:eastAsia="en-AU"/>
      </w:rPr>
      <w:drawing>
        <wp:anchor distT="0" distB="0" distL="114300" distR="114300" simplePos="0" relativeHeight="251657216" behindDoc="1" locked="0" layoutInCell="1" allowOverlap="1" wp14:anchorId="2140A018" wp14:editId="474A7230">
          <wp:simplePos x="0" y="0"/>
          <wp:positionH relativeFrom="column">
            <wp:posOffset>-342900</wp:posOffset>
          </wp:positionH>
          <wp:positionV relativeFrom="paragraph">
            <wp:posOffset>-111760</wp:posOffset>
          </wp:positionV>
          <wp:extent cx="6805295" cy="3149600"/>
          <wp:effectExtent l="0" t="0" r="0" b="0"/>
          <wp:wrapNone/>
          <wp:docPr id="19" name="Picture 1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314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4E6" w:rsidRDefault="003424E6" w:rsidP="00342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1FE" w:rsidRDefault="000F64DD" w:rsidP="009046B1">
    <w:pPr>
      <w:pStyle w:val="zHeader"/>
    </w:pPr>
    <w:r>
      <w:rPr>
        <w:noProof/>
        <w:lang w:eastAsia="en-AU"/>
      </w:rPr>
      <w:drawing>
        <wp:anchor distT="0" distB="0" distL="114300" distR="114300" simplePos="0" relativeHeight="251656192" behindDoc="1" locked="0" layoutInCell="1" allowOverlap="1" wp14:anchorId="4710D377" wp14:editId="6B8D504C">
          <wp:simplePos x="0" y="0"/>
          <wp:positionH relativeFrom="column">
            <wp:posOffset>-353060</wp:posOffset>
          </wp:positionH>
          <wp:positionV relativeFrom="paragraph">
            <wp:posOffset>-101600</wp:posOffset>
          </wp:positionV>
          <wp:extent cx="6837680" cy="9627870"/>
          <wp:effectExtent l="0" t="0" r="1270" b="0"/>
          <wp:wrapNone/>
          <wp:docPr id="21" name="Picture 2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9B1526A"/>
    <w:multiLevelType w:val="hybridMultilevel"/>
    <w:tmpl w:val="77E653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08F55E6"/>
    <w:multiLevelType w:val="multilevel"/>
    <w:tmpl w:val="19C038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1F43662"/>
    <w:multiLevelType w:val="hybridMultilevel"/>
    <w:tmpl w:val="3B9EA7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A802960"/>
    <w:multiLevelType w:val="hybridMultilevel"/>
    <w:tmpl w:val="F77A87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6A06306"/>
    <w:multiLevelType w:val="multilevel"/>
    <w:tmpl w:val="6A246D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E841AF"/>
    <w:multiLevelType w:val="multilevel"/>
    <w:tmpl w:val="3E6ABD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B9B123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19580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6B19F9"/>
    <w:multiLevelType w:val="multilevel"/>
    <w:tmpl w:val="B134B1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A3B6D42"/>
    <w:multiLevelType w:val="hybridMultilevel"/>
    <w:tmpl w:val="ACFA9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3"/>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12"/>
  </w:num>
  <w:num w:numId="17">
    <w:abstractNumId w:val="22"/>
  </w:num>
  <w:num w:numId="18">
    <w:abstractNumId w:val="21"/>
  </w:num>
  <w:num w:numId="19">
    <w:abstractNumId w:val="24"/>
  </w:num>
  <w:num w:numId="20">
    <w:abstractNumId w:val="23"/>
  </w:num>
  <w:num w:numId="21">
    <w:abstractNumId w:val="15"/>
  </w:num>
  <w:num w:numId="22">
    <w:abstractNumId w:val="20"/>
  </w:num>
  <w:num w:numId="23">
    <w:abstractNumId w:val="10"/>
  </w:num>
  <w:num w:numId="24">
    <w:abstractNumId w:val="25"/>
  </w:num>
  <w:num w:numId="25">
    <w:abstractNumId w:val="16"/>
  </w:num>
  <w:num w:numId="26">
    <w:abstractNumId w:val="17"/>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activeWritingStyle w:appName="MSWord" w:lang="en-US" w:vendorID="64" w:dllVersion="0" w:nlCheck="1" w:checkStyle="1"/>
  <w:activeWritingStyle w:appName="MSWord" w:lang="en-AU" w:vendorID="64" w:dllVersion="0" w:nlCheck="1" w:checkStyle="1"/>
  <w:activeWritingStyle w:appName="MSWord" w:lang="en-GB" w:vendorID="64" w:dllVersion="0" w:nlCheck="1" w:checkStyle="0"/>
  <w:attachedTemplate r:id="rId1"/>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3CB6"/>
    <w:rsid w:val="00012793"/>
    <w:rsid w:val="00014002"/>
    <w:rsid w:val="00033DF0"/>
    <w:rsid w:val="00040071"/>
    <w:rsid w:val="00041156"/>
    <w:rsid w:val="00055FB4"/>
    <w:rsid w:val="00060A68"/>
    <w:rsid w:val="00073528"/>
    <w:rsid w:val="00076886"/>
    <w:rsid w:val="0008754B"/>
    <w:rsid w:val="0009699E"/>
    <w:rsid w:val="000A5E54"/>
    <w:rsid w:val="000B2F13"/>
    <w:rsid w:val="000C3259"/>
    <w:rsid w:val="000D009F"/>
    <w:rsid w:val="000D627F"/>
    <w:rsid w:val="000E02A3"/>
    <w:rsid w:val="000E0643"/>
    <w:rsid w:val="000E3720"/>
    <w:rsid w:val="000E6BF2"/>
    <w:rsid w:val="000F64DD"/>
    <w:rsid w:val="00100BAC"/>
    <w:rsid w:val="00120C40"/>
    <w:rsid w:val="00125205"/>
    <w:rsid w:val="0016331C"/>
    <w:rsid w:val="00177115"/>
    <w:rsid w:val="001A243B"/>
    <w:rsid w:val="001B2EC4"/>
    <w:rsid w:val="001C0147"/>
    <w:rsid w:val="001C2F5B"/>
    <w:rsid w:val="001C459C"/>
    <w:rsid w:val="001E2024"/>
    <w:rsid w:val="001E5CCD"/>
    <w:rsid w:val="001E7978"/>
    <w:rsid w:val="001F0158"/>
    <w:rsid w:val="001F77C5"/>
    <w:rsid w:val="00207A7C"/>
    <w:rsid w:val="00212907"/>
    <w:rsid w:val="00235C7F"/>
    <w:rsid w:val="00236B80"/>
    <w:rsid w:val="0025127D"/>
    <w:rsid w:val="002526EA"/>
    <w:rsid w:val="00257BF1"/>
    <w:rsid w:val="0026474F"/>
    <w:rsid w:val="00274E8B"/>
    <w:rsid w:val="00281AEE"/>
    <w:rsid w:val="00283141"/>
    <w:rsid w:val="00285925"/>
    <w:rsid w:val="00285FC1"/>
    <w:rsid w:val="002A0D3A"/>
    <w:rsid w:val="002C5BA2"/>
    <w:rsid w:val="002E0F63"/>
    <w:rsid w:val="002F042B"/>
    <w:rsid w:val="00313D35"/>
    <w:rsid w:val="0033002F"/>
    <w:rsid w:val="00330679"/>
    <w:rsid w:val="00331D7B"/>
    <w:rsid w:val="00341520"/>
    <w:rsid w:val="00342235"/>
    <w:rsid w:val="003424E6"/>
    <w:rsid w:val="003442F7"/>
    <w:rsid w:val="0036305A"/>
    <w:rsid w:val="00371E21"/>
    <w:rsid w:val="003760E7"/>
    <w:rsid w:val="003778E8"/>
    <w:rsid w:val="00390622"/>
    <w:rsid w:val="003917F9"/>
    <w:rsid w:val="0039238A"/>
    <w:rsid w:val="00396A82"/>
    <w:rsid w:val="003B1144"/>
    <w:rsid w:val="003D36D3"/>
    <w:rsid w:val="003E1C93"/>
    <w:rsid w:val="003E293E"/>
    <w:rsid w:val="003F347D"/>
    <w:rsid w:val="003F5344"/>
    <w:rsid w:val="003F7936"/>
    <w:rsid w:val="00402B41"/>
    <w:rsid w:val="00422EA7"/>
    <w:rsid w:val="00431C87"/>
    <w:rsid w:val="00437824"/>
    <w:rsid w:val="00444D9F"/>
    <w:rsid w:val="004536DF"/>
    <w:rsid w:val="00455AC0"/>
    <w:rsid w:val="004578FA"/>
    <w:rsid w:val="00480FA3"/>
    <w:rsid w:val="004A1E00"/>
    <w:rsid w:val="004A4A54"/>
    <w:rsid w:val="004A79D2"/>
    <w:rsid w:val="004C2609"/>
    <w:rsid w:val="004D21CD"/>
    <w:rsid w:val="004D5834"/>
    <w:rsid w:val="004E6888"/>
    <w:rsid w:val="004F572C"/>
    <w:rsid w:val="005020AA"/>
    <w:rsid w:val="0050769F"/>
    <w:rsid w:val="00507F90"/>
    <w:rsid w:val="00513E41"/>
    <w:rsid w:val="005211F6"/>
    <w:rsid w:val="00533C54"/>
    <w:rsid w:val="005356D9"/>
    <w:rsid w:val="00540762"/>
    <w:rsid w:val="00543898"/>
    <w:rsid w:val="00550F27"/>
    <w:rsid w:val="00557B67"/>
    <w:rsid w:val="00561093"/>
    <w:rsid w:val="00565E0D"/>
    <w:rsid w:val="00566FE3"/>
    <w:rsid w:val="00590EF3"/>
    <w:rsid w:val="005A2157"/>
    <w:rsid w:val="005C0C61"/>
    <w:rsid w:val="005D4532"/>
    <w:rsid w:val="005E2C8F"/>
    <w:rsid w:val="00606451"/>
    <w:rsid w:val="00607A4C"/>
    <w:rsid w:val="006156E5"/>
    <w:rsid w:val="00624EAC"/>
    <w:rsid w:val="00642596"/>
    <w:rsid w:val="0065086D"/>
    <w:rsid w:val="0067421F"/>
    <w:rsid w:val="00674FD6"/>
    <w:rsid w:val="00675636"/>
    <w:rsid w:val="00677847"/>
    <w:rsid w:val="00680549"/>
    <w:rsid w:val="006858DC"/>
    <w:rsid w:val="006A26BE"/>
    <w:rsid w:val="006B3519"/>
    <w:rsid w:val="006C2C00"/>
    <w:rsid w:val="006C3999"/>
    <w:rsid w:val="006F707D"/>
    <w:rsid w:val="00706E7C"/>
    <w:rsid w:val="007201DE"/>
    <w:rsid w:val="00733C34"/>
    <w:rsid w:val="00752FC9"/>
    <w:rsid w:val="00756071"/>
    <w:rsid w:val="00767F2D"/>
    <w:rsid w:val="00787030"/>
    <w:rsid w:val="007A3996"/>
    <w:rsid w:val="007D642E"/>
    <w:rsid w:val="007E2CC1"/>
    <w:rsid w:val="00801A56"/>
    <w:rsid w:val="00805556"/>
    <w:rsid w:val="00807E7F"/>
    <w:rsid w:val="00815DD4"/>
    <w:rsid w:val="008231E7"/>
    <w:rsid w:val="00823E6F"/>
    <w:rsid w:val="0083541B"/>
    <w:rsid w:val="00837ECD"/>
    <w:rsid w:val="00842339"/>
    <w:rsid w:val="00844C4C"/>
    <w:rsid w:val="00852A30"/>
    <w:rsid w:val="00893965"/>
    <w:rsid w:val="008A6BBA"/>
    <w:rsid w:val="008A7E20"/>
    <w:rsid w:val="008B61B5"/>
    <w:rsid w:val="008C345D"/>
    <w:rsid w:val="008D09F0"/>
    <w:rsid w:val="008D5ABD"/>
    <w:rsid w:val="008F4372"/>
    <w:rsid w:val="008F4932"/>
    <w:rsid w:val="0090189E"/>
    <w:rsid w:val="009046B1"/>
    <w:rsid w:val="00926BDE"/>
    <w:rsid w:val="009354F3"/>
    <w:rsid w:val="009440F1"/>
    <w:rsid w:val="00951623"/>
    <w:rsid w:val="009575FF"/>
    <w:rsid w:val="00962D3B"/>
    <w:rsid w:val="00963A50"/>
    <w:rsid w:val="009730D5"/>
    <w:rsid w:val="00981EA2"/>
    <w:rsid w:val="00982B80"/>
    <w:rsid w:val="00991C27"/>
    <w:rsid w:val="00992BDA"/>
    <w:rsid w:val="00995AD5"/>
    <w:rsid w:val="0099652F"/>
    <w:rsid w:val="009B3A02"/>
    <w:rsid w:val="009C3727"/>
    <w:rsid w:val="009C4216"/>
    <w:rsid w:val="009D3CC4"/>
    <w:rsid w:val="009D61CA"/>
    <w:rsid w:val="009F4E32"/>
    <w:rsid w:val="009F61FE"/>
    <w:rsid w:val="00A0021E"/>
    <w:rsid w:val="00A03F1F"/>
    <w:rsid w:val="00A04614"/>
    <w:rsid w:val="00A068E6"/>
    <w:rsid w:val="00A1529A"/>
    <w:rsid w:val="00A15796"/>
    <w:rsid w:val="00A378C9"/>
    <w:rsid w:val="00A37BFA"/>
    <w:rsid w:val="00A42B76"/>
    <w:rsid w:val="00A43966"/>
    <w:rsid w:val="00A44130"/>
    <w:rsid w:val="00A60CCB"/>
    <w:rsid w:val="00A67D11"/>
    <w:rsid w:val="00A730A4"/>
    <w:rsid w:val="00A735F0"/>
    <w:rsid w:val="00A74AEE"/>
    <w:rsid w:val="00A75160"/>
    <w:rsid w:val="00A84DFA"/>
    <w:rsid w:val="00A85081"/>
    <w:rsid w:val="00A85977"/>
    <w:rsid w:val="00A94AB2"/>
    <w:rsid w:val="00A94EC1"/>
    <w:rsid w:val="00AA289E"/>
    <w:rsid w:val="00AB0BF9"/>
    <w:rsid w:val="00AB7602"/>
    <w:rsid w:val="00AE37B5"/>
    <w:rsid w:val="00AE7B03"/>
    <w:rsid w:val="00AF4DB4"/>
    <w:rsid w:val="00AF7962"/>
    <w:rsid w:val="00B025B6"/>
    <w:rsid w:val="00B04420"/>
    <w:rsid w:val="00B06452"/>
    <w:rsid w:val="00B106DA"/>
    <w:rsid w:val="00B27FAD"/>
    <w:rsid w:val="00B3061B"/>
    <w:rsid w:val="00B32165"/>
    <w:rsid w:val="00B33849"/>
    <w:rsid w:val="00B46211"/>
    <w:rsid w:val="00B508B8"/>
    <w:rsid w:val="00B508D5"/>
    <w:rsid w:val="00B5151F"/>
    <w:rsid w:val="00B55FDF"/>
    <w:rsid w:val="00B5600F"/>
    <w:rsid w:val="00B732AE"/>
    <w:rsid w:val="00BB3608"/>
    <w:rsid w:val="00BB37E4"/>
    <w:rsid w:val="00BB6A87"/>
    <w:rsid w:val="00BC3D21"/>
    <w:rsid w:val="00BC4941"/>
    <w:rsid w:val="00BD2D1B"/>
    <w:rsid w:val="00BD581E"/>
    <w:rsid w:val="00BD60B6"/>
    <w:rsid w:val="00C005CE"/>
    <w:rsid w:val="00C11190"/>
    <w:rsid w:val="00C1159A"/>
    <w:rsid w:val="00C16DF2"/>
    <w:rsid w:val="00C40D68"/>
    <w:rsid w:val="00C46B5E"/>
    <w:rsid w:val="00C644EC"/>
    <w:rsid w:val="00C772CA"/>
    <w:rsid w:val="00CA19B7"/>
    <w:rsid w:val="00CA5BBE"/>
    <w:rsid w:val="00CA77CB"/>
    <w:rsid w:val="00CB2060"/>
    <w:rsid w:val="00CB33BB"/>
    <w:rsid w:val="00CC4DEE"/>
    <w:rsid w:val="00CD3A25"/>
    <w:rsid w:val="00CD761E"/>
    <w:rsid w:val="00CE6306"/>
    <w:rsid w:val="00CF34D9"/>
    <w:rsid w:val="00CF3B6C"/>
    <w:rsid w:val="00D07E53"/>
    <w:rsid w:val="00D123B4"/>
    <w:rsid w:val="00D1327F"/>
    <w:rsid w:val="00D14A18"/>
    <w:rsid w:val="00D57FF0"/>
    <w:rsid w:val="00D73482"/>
    <w:rsid w:val="00D8255B"/>
    <w:rsid w:val="00D923BD"/>
    <w:rsid w:val="00D95343"/>
    <w:rsid w:val="00D9706E"/>
    <w:rsid w:val="00DA0042"/>
    <w:rsid w:val="00DC1725"/>
    <w:rsid w:val="00DC7F99"/>
    <w:rsid w:val="00DD4D27"/>
    <w:rsid w:val="00DE01BF"/>
    <w:rsid w:val="00DF0074"/>
    <w:rsid w:val="00DF217F"/>
    <w:rsid w:val="00E3428D"/>
    <w:rsid w:val="00E44745"/>
    <w:rsid w:val="00E51072"/>
    <w:rsid w:val="00E531CC"/>
    <w:rsid w:val="00E56D27"/>
    <w:rsid w:val="00E6278D"/>
    <w:rsid w:val="00E673C4"/>
    <w:rsid w:val="00E761BA"/>
    <w:rsid w:val="00E83113"/>
    <w:rsid w:val="00E8448C"/>
    <w:rsid w:val="00EA31C2"/>
    <w:rsid w:val="00EA3DE8"/>
    <w:rsid w:val="00EA4AEF"/>
    <w:rsid w:val="00EB08D9"/>
    <w:rsid w:val="00EB75EA"/>
    <w:rsid w:val="00EC6F19"/>
    <w:rsid w:val="00EF1770"/>
    <w:rsid w:val="00EF6205"/>
    <w:rsid w:val="00F101D6"/>
    <w:rsid w:val="00F17F45"/>
    <w:rsid w:val="00F221DA"/>
    <w:rsid w:val="00F3080E"/>
    <w:rsid w:val="00F44BA3"/>
    <w:rsid w:val="00F46148"/>
    <w:rsid w:val="00F50943"/>
    <w:rsid w:val="00F5683B"/>
    <w:rsid w:val="00F649B6"/>
    <w:rsid w:val="00F66A2D"/>
    <w:rsid w:val="00F71772"/>
    <w:rsid w:val="00F765D8"/>
    <w:rsid w:val="00F90092"/>
    <w:rsid w:val="00F93DA0"/>
    <w:rsid w:val="00F957B6"/>
    <w:rsid w:val="00F95C7C"/>
    <w:rsid w:val="00FB2ECD"/>
    <w:rsid w:val="00FC02F4"/>
    <w:rsid w:val="00FD1C6D"/>
    <w:rsid w:val="00FE22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4:docId w14:val="1087A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basedOn w:val="Normal"/>
    <w:next w:val="Normal"/>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ullet">
    <w:name w:val="_Bullet"/>
    <w:link w:val="BulletChar"/>
    <w:qFormat/>
    <w:rsid w:val="00DC7F99"/>
    <w:pPr>
      <w:numPr>
        <w:numId w:val="16"/>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uiPriority w:val="99"/>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uiPriority w:val="99"/>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DC7F99"/>
    <w:pPr>
      <w:tabs>
        <w:tab w:val="right" w:pos="9629"/>
      </w:tabs>
      <w:spacing w:after="60"/>
    </w:pPr>
    <w:rPr>
      <w:noProof/>
      <w:szCs w:val="18"/>
    </w:rPr>
  </w:style>
  <w:style w:type="paragraph" w:styleId="TOC1">
    <w:name w:val="toc 1"/>
    <w:basedOn w:val="Normal"/>
    <w:next w:val="Normal"/>
    <w:autoRedefine/>
    <w:uiPriority w:val="39"/>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uiPriority w:val="99"/>
    <w:rsid w:val="008F4372"/>
    <w:rPr>
      <w:szCs w:val="20"/>
    </w:rPr>
  </w:style>
  <w:style w:type="character" w:customStyle="1" w:styleId="CommentTextChar">
    <w:name w:val="Comment Text Char"/>
    <w:link w:val="CommentText"/>
    <w:uiPriority w:val="99"/>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styleId="NoSpacing">
    <w:name w:val="No Spacing"/>
    <w:uiPriority w:val="1"/>
    <w:qFormat/>
    <w:rsid w:val="00D8255B"/>
    <w:rPr>
      <w:rFonts w:asciiTheme="minorHAnsi" w:eastAsiaTheme="minorHAnsi" w:hAnsiTheme="minorHAnsi" w:cstheme="minorBidi"/>
      <w:sz w:val="22"/>
      <w:szCs w:val="22"/>
      <w:lang w:eastAsia="en-US"/>
    </w:rPr>
  </w:style>
  <w:style w:type="paragraph" w:customStyle="1" w:styleId="BULLETS">
    <w:name w:val="BULLETS"/>
    <w:basedOn w:val="Normal"/>
    <w:next w:val="Normal"/>
    <w:uiPriority w:val="99"/>
    <w:rsid w:val="00D8255B"/>
    <w:pPr>
      <w:widowControl w:val="0"/>
      <w:suppressAutoHyphens/>
      <w:autoSpaceDE w:val="0"/>
      <w:autoSpaceDN w:val="0"/>
      <w:adjustRightInd w:val="0"/>
      <w:spacing w:after="113" w:line="220" w:lineRule="atLeast"/>
      <w:ind w:left="170" w:hanging="170"/>
      <w:textAlignment w:val="center"/>
    </w:pPr>
    <w:rPr>
      <w:rFonts w:ascii="HelveticaNeueLTStd-Lt" w:hAnsi="HelveticaNeueLTStd-Lt" w:cs="HelveticaNeueLTStd-Lt"/>
      <w:color w:val="000000"/>
      <w:sz w:val="18"/>
      <w:szCs w:val="18"/>
      <w:lang w:val="en-GB"/>
    </w:rPr>
  </w:style>
  <w:style w:type="character" w:customStyle="1" w:styleId="Italic-light">
    <w:name w:val="Italic - light"/>
    <w:uiPriority w:val="99"/>
    <w:rsid w:val="00D8255B"/>
    <w:rPr>
      <w:rFonts w:ascii="HelveticaNeueLT Std Lt" w:hAnsi="HelveticaNeueLT Std Lt" w:cs="HelveticaNeueLTStd-LtIt"/>
      <w:i/>
      <w:iCs/>
      <w:color w:val="auto"/>
    </w:rPr>
  </w:style>
  <w:style w:type="paragraph" w:customStyle="1" w:styleId="BODY">
    <w:name w:val="BODY"/>
    <w:basedOn w:val="Normal"/>
    <w:next w:val="Normal"/>
    <w:uiPriority w:val="99"/>
    <w:rsid w:val="00D8255B"/>
    <w:pPr>
      <w:widowControl w:val="0"/>
      <w:tabs>
        <w:tab w:val="left" w:pos="227"/>
        <w:tab w:val="right" w:pos="5920"/>
      </w:tabs>
      <w:suppressAutoHyphens/>
      <w:autoSpaceDE w:val="0"/>
      <w:autoSpaceDN w:val="0"/>
      <w:adjustRightInd w:val="0"/>
      <w:spacing w:after="113" w:line="220" w:lineRule="atLeast"/>
      <w:textAlignment w:val="center"/>
    </w:pPr>
    <w:rPr>
      <w:rFonts w:ascii="HelveticaNeueLTStd-Lt" w:hAnsi="HelveticaNeueLTStd-Lt" w:cs="HelveticaNeueLTStd-Lt"/>
      <w:color w:val="000000"/>
      <w:sz w:val="18"/>
      <w:szCs w:val="18"/>
      <w:lang w:val="en-GB"/>
    </w:rPr>
  </w:style>
  <w:style w:type="paragraph" w:styleId="ListParagraph">
    <w:name w:val="List Paragraph"/>
    <w:basedOn w:val="Normal"/>
    <w:uiPriority w:val="34"/>
    <w:qFormat/>
    <w:rsid w:val="00D8255B"/>
    <w:pPr>
      <w:spacing w:after="200" w:line="276" w:lineRule="auto"/>
      <w:ind w:left="720"/>
      <w:contextualSpacing/>
    </w:pPr>
    <w:rPr>
      <w:rFonts w:asciiTheme="minorHAnsi" w:eastAsiaTheme="minorHAnsi" w:hAnsiTheme="minorHAnsi" w:cstheme="minorBidi"/>
      <w:szCs w:val="22"/>
    </w:rPr>
  </w:style>
  <w:style w:type="character" w:customStyle="1" w:styleId="FootnoteTextChar">
    <w:name w:val="Footnote Text Char"/>
    <w:basedOn w:val="DefaultParagraphFont"/>
    <w:link w:val="FootnoteText"/>
    <w:uiPriority w:val="99"/>
    <w:semiHidden/>
    <w:rsid w:val="00D8255B"/>
    <w:rPr>
      <w:rFonts w:ascii="Arial" w:hAnsi="Arial"/>
      <w:sz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reativecommons.org/licenses/by/4.0/"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delwp.vic.gov.au"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relayservice.com.au" TargetMode="External"/><Relationship Id="rId20" Type="http://schemas.openxmlformats.org/officeDocument/2006/relationships/hyperlink" Target="http://www.dtpli.vic.gov.au/planning/about-planning/consult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customer.service@delwp.vic.gov.au" TargetMode="Externa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reativecommons.org/licenses/by/4.0/" TargetMode="External"/><Relationship Id="rId22" Type="http://schemas.openxmlformats.org/officeDocument/2006/relationships/footer" Target="foot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055F-125B-49E3-AEF7-6F5CB2A7A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8</Pages>
  <Words>1776</Words>
  <Characters>10125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11878</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2015-09-08T23:49:00Z</dcterms:created>
  <dcterms:modified xsi:type="dcterms:W3CDTF">2017-06-22T23:57:00Z</dcterms:modified>
</cp:coreProperties>
</file>