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40"/>
        <w:tblW w:w="9904" w:type="dxa"/>
        <w:tblLook w:val="01E0" w:firstRow="1" w:lastRow="1" w:firstColumn="1" w:lastColumn="1" w:noHBand="0" w:noVBand="0"/>
      </w:tblPr>
      <w:tblGrid>
        <w:gridCol w:w="9904"/>
      </w:tblGrid>
      <w:tr w:rsidR="00AA7FC7" w:rsidRPr="00BA2608" w:rsidTr="00AA7FC7">
        <w:trPr>
          <w:trHeight w:hRule="exact" w:val="2683"/>
        </w:trPr>
        <w:tc>
          <w:tcPr>
            <w:tcW w:w="9904" w:type="dxa"/>
            <w:shd w:val="clear" w:color="auto" w:fill="auto"/>
          </w:tcPr>
          <w:bookmarkStart w:id="0" w:name="Here"/>
          <w:bookmarkStart w:id="1" w:name="_GoBack"/>
          <w:bookmarkEnd w:id="0"/>
          <w:bookmarkEnd w:id="1"/>
          <w:p w:rsidR="00AA7FC7" w:rsidRPr="00BA2608" w:rsidRDefault="00AA7FC7" w:rsidP="00AA7FC7">
            <w:pPr>
              <w:pStyle w:val="CertHBWhite"/>
              <w:spacing w:before="240" w:after="240"/>
              <w:rPr>
                <w:sz w:val="52"/>
                <w:szCs w:val="52"/>
              </w:rPr>
            </w:pPr>
            <w:r w:rsidRPr="00BA2608">
              <w:rPr>
                <w:noProof/>
                <w:sz w:val="52"/>
                <w:szCs w:val="52"/>
                <w:lang w:eastAsia="en-AU"/>
              </w:rPr>
              <mc:AlternateContent>
                <mc:Choice Requires="wps">
                  <w:drawing>
                    <wp:anchor distT="0" distB="0" distL="114300" distR="114300" simplePos="0" relativeHeight="251659264" behindDoc="0" locked="0" layoutInCell="1" allowOverlap="1" wp14:anchorId="3B74A6E1" wp14:editId="0532DA7C">
                      <wp:simplePos x="0" y="0"/>
                      <wp:positionH relativeFrom="column">
                        <wp:posOffset>-51435</wp:posOffset>
                      </wp:positionH>
                      <wp:positionV relativeFrom="paragraph">
                        <wp:posOffset>1637858</wp:posOffset>
                      </wp:positionV>
                      <wp:extent cx="5588000"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FC7" w:rsidRPr="008110B2" w:rsidRDefault="00AA7FC7" w:rsidP="00AA7FC7">
                                  <w:pPr>
                                    <w:rPr>
                                      <w:rFonts w:asciiTheme="minorHAnsi" w:hAnsiTheme="minorHAnsi" w:cstheme="minorHAnsi"/>
                                      <w:color w:val="FFFFFF"/>
                                      <w:sz w:val="40"/>
                                      <w:szCs w:val="40"/>
                                    </w:rPr>
                                  </w:pPr>
                                  <w:r>
                                    <w:rPr>
                                      <w:rFonts w:asciiTheme="minorHAnsi" w:hAnsiTheme="minorHAnsi" w:cstheme="minorHAnsi"/>
                                      <w:color w:val="FFFFFF"/>
                                      <w:sz w:val="40"/>
                                      <w:szCs w:val="40"/>
                                    </w:rPr>
                                    <w:t xml:space="preserve">Regulator’s Response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5pt;margin-top:128.95pt;width:440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TbugIAALk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" filled="f" stroked="f">
                      <v:textbox>
                        <w:txbxContent>
                          <w:p w:rsidR="00AA7FC7" w:rsidRPr="008110B2" w:rsidRDefault="00AA7FC7" w:rsidP="00AA7FC7">
                            <w:pPr>
                              <w:rPr>
                                <w:rFonts w:asciiTheme="minorHAnsi" w:hAnsiTheme="minorHAnsi" w:cstheme="minorHAnsi"/>
                                <w:color w:val="FFFFFF"/>
                                <w:sz w:val="40"/>
                                <w:szCs w:val="40"/>
                              </w:rPr>
                            </w:pPr>
                            <w:r>
                              <w:rPr>
                                <w:rFonts w:asciiTheme="minorHAnsi" w:hAnsiTheme="minorHAnsi" w:cstheme="minorHAnsi"/>
                                <w:color w:val="FFFFFF"/>
                                <w:sz w:val="40"/>
                                <w:szCs w:val="40"/>
                              </w:rPr>
                              <w:t xml:space="preserve">Regulator’s Response </w:t>
                            </w:r>
                          </w:p>
                        </w:txbxContent>
                      </v:textbox>
                    </v:shape>
                  </w:pict>
                </mc:Fallback>
              </mc:AlternateContent>
            </w:r>
            <w:r w:rsidRPr="00BA2608">
              <w:rPr>
                <w:sz w:val="52"/>
                <w:szCs w:val="52"/>
              </w:rPr>
              <w:t>Forest Audit Program – Harvesting and Closure and Regeneration and Finalisation Audit 2014</w:t>
            </w:r>
          </w:p>
        </w:tc>
      </w:tr>
    </w:tbl>
    <w:p w:rsidR="00AA7FC7" w:rsidRPr="00BA2608" w:rsidRDefault="00AA7FC7" w:rsidP="00FC4E61">
      <w:pPr>
        <w:pStyle w:val="Body"/>
      </w:pPr>
    </w:p>
    <w:p w:rsidR="00D76CCD" w:rsidRPr="00BA2608" w:rsidRDefault="00D76CCD" w:rsidP="00FC4E61">
      <w:pPr>
        <w:pStyle w:val="Body"/>
      </w:pPr>
    </w:p>
    <w:p w:rsidR="00D76CCD" w:rsidRPr="00BA2608" w:rsidRDefault="00D76CCD" w:rsidP="00FC4E61">
      <w:pPr>
        <w:pStyle w:val="Body"/>
      </w:pPr>
    </w:p>
    <w:p w:rsidR="00D76CCD" w:rsidRPr="00BA2608" w:rsidRDefault="00D76CCD" w:rsidP="00FC4E61">
      <w:pPr>
        <w:pStyle w:val="Body"/>
      </w:pPr>
    </w:p>
    <w:p w:rsidR="007C0BF1" w:rsidRPr="00BA2608" w:rsidRDefault="007C0BF1" w:rsidP="00FC4E61">
      <w:pPr>
        <w:pStyle w:val="Body"/>
      </w:pPr>
      <w:r w:rsidRPr="00BA2608">
        <w:t xml:space="preserve">The Department of Environment, Land, Water and Planning (DELWP) </w:t>
      </w:r>
      <w:r w:rsidR="008C0D37" w:rsidRPr="00BA2608">
        <w:t>commissioned this audit project un</w:t>
      </w:r>
      <w:r w:rsidR="00116F0B" w:rsidRPr="00BA2608">
        <w:t>der its annual Forest Audit Program. The audit</w:t>
      </w:r>
      <w:r w:rsidR="008C0D37" w:rsidRPr="00BA2608">
        <w:t xml:space="preserve"> </w:t>
      </w:r>
      <w:r w:rsidR="00AD64B2">
        <w:t>reviewed h</w:t>
      </w:r>
      <w:r w:rsidRPr="00BA2608">
        <w:t xml:space="preserve">arvesting and </w:t>
      </w:r>
      <w:r w:rsidR="00AD64B2">
        <w:t>c</w:t>
      </w:r>
      <w:r w:rsidR="00116F0B" w:rsidRPr="00BA2608">
        <w:t>oupe c</w:t>
      </w:r>
      <w:r w:rsidRPr="00BA2608">
        <w:t xml:space="preserve">losure </w:t>
      </w:r>
      <w:r w:rsidR="00AD64B2">
        <w:t>performance along with forest r</w:t>
      </w:r>
      <w:r w:rsidRPr="00BA2608">
        <w:t xml:space="preserve">egeneration </w:t>
      </w:r>
      <w:r w:rsidR="00AD64B2">
        <w:t xml:space="preserve">at </w:t>
      </w:r>
      <w:r w:rsidR="00C403F5" w:rsidRPr="00BA2608">
        <w:t>timber harvesting coupes across the Central, Dandenong and Bendigo Forest Management Areas</w:t>
      </w:r>
      <w:r w:rsidR="00116F0B" w:rsidRPr="00BA2608">
        <w:t>.</w:t>
      </w:r>
      <w:r w:rsidR="008C0D37" w:rsidRPr="00BA2608">
        <w:t xml:space="preserve"> </w:t>
      </w:r>
      <w:r w:rsidR="0011268C" w:rsidRPr="00BA2608">
        <w:t>34 coupes were assessed</w:t>
      </w:r>
      <w:r w:rsidR="00C403F5" w:rsidRPr="00BA2608">
        <w:t xml:space="preserve"> during this project</w:t>
      </w:r>
      <w:r w:rsidR="008C0D37" w:rsidRPr="00BA2608">
        <w:t xml:space="preserve">. The </w:t>
      </w:r>
      <w:r w:rsidR="005D299D" w:rsidRPr="00BA2608">
        <w:t xml:space="preserve">audit </w:t>
      </w:r>
      <w:r w:rsidR="008C0D37" w:rsidRPr="00BA2608">
        <w:t xml:space="preserve">report contains a number of recommendations </w:t>
      </w:r>
      <w:r w:rsidRPr="00BA2608">
        <w:t>to</w:t>
      </w:r>
      <w:r w:rsidR="00C403F5" w:rsidRPr="00BA2608">
        <w:t xml:space="preserve"> improve</w:t>
      </w:r>
      <w:r w:rsidRPr="00BA2608">
        <w:t xml:space="preserve"> timber harvesting operations conducted in Victoria</w:t>
      </w:r>
      <w:r w:rsidR="00AE6D60" w:rsidRPr="00BA2608">
        <w:t>’s State forests</w:t>
      </w:r>
      <w:r w:rsidR="008C0D37" w:rsidRPr="00BA2608">
        <w:t xml:space="preserve">. </w:t>
      </w:r>
    </w:p>
    <w:p w:rsidR="00AA7FC7" w:rsidRPr="00BA2608" w:rsidRDefault="00AE6D60" w:rsidP="00FC4E61">
      <w:pPr>
        <w:pStyle w:val="Body"/>
      </w:pPr>
      <w:r w:rsidRPr="00BA2608">
        <w:t>At the time of this audit, timber harvesting operation</w:t>
      </w:r>
      <w:r w:rsidR="007A02A6">
        <w:t>s</w:t>
      </w:r>
      <w:r w:rsidRPr="00BA2608">
        <w:t xml:space="preserve"> in Victoria’s State forests were managed by two separate entities. VicForests was responsible for planning and managing commercial timber harvesting, the sale of timber products a</w:t>
      </w:r>
      <w:r w:rsidR="00B75A40" w:rsidRPr="00BA2608">
        <w:t>nd the regeneration of harvest</w:t>
      </w:r>
      <w:r w:rsidR="007A02A6">
        <w:t xml:space="preserve">ed coupes </w:t>
      </w:r>
      <w:r w:rsidR="00B75A40" w:rsidRPr="00BA2608">
        <w:t>in the e</w:t>
      </w:r>
      <w:r w:rsidRPr="00BA2608">
        <w:t xml:space="preserve">ast of the State. The </w:t>
      </w:r>
      <w:r w:rsidR="008C0D37" w:rsidRPr="00BA2608">
        <w:t xml:space="preserve">former </w:t>
      </w:r>
      <w:r w:rsidRPr="00BA2608">
        <w:t>Department of Environment and Primary Industr</w:t>
      </w:r>
      <w:r w:rsidR="00C403F5" w:rsidRPr="00BA2608">
        <w:t>ies (DEPI) Forestry Services Group were</w:t>
      </w:r>
      <w:r w:rsidRPr="00BA2608">
        <w:t xml:space="preserve"> responsible for</w:t>
      </w:r>
      <w:r w:rsidR="008C0D37" w:rsidRPr="00BA2608">
        <w:t xml:space="preserve"> </w:t>
      </w:r>
      <w:r w:rsidR="00AD64B2">
        <w:t xml:space="preserve">management of </w:t>
      </w:r>
      <w:r w:rsidR="008C0D37" w:rsidRPr="00BA2608">
        <w:t>harvesting conducted in</w:t>
      </w:r>
      <w:r w:rsidRPr="00BA2608">
        <w:t xml:space="preserve"> other parts of the State (pr</w:t>
      </w:r>
      <w:r w:rsidR="00E85E30" w:rsidRPr="00BA2608">
        <w:t xml:space="preserve">edominantly Western </w:t>
      </w:r>
      <w:r w:rsidR="008C0D37" w:rsidRPr="00BA2608">
        <w:t>Victoria</w:t>
      </w:r>
      <w:r w:rsidR="00E85E30" w:rsidRPr="00BA2608">
        <w:t xml:space="preserve">). </w:t>
      </w:r>
    </w:p>
    <w:p w:rsidR="00AE6D60" w:rsidRPr="00BA2608" w:rsidRDefault="00A909D4" w:rsidP="00FC4E61">
      <w:pPr>
        <w:pStyle w:val="Body"/>
        <w:rPr>
          <w:i/>
        </w:rPr>
      </w:pPr>
      <w:r w:rsidRPr="00BA2608">
        <w:t>In November 2014, t</w:t>
      </w:r>
      <w:r w:rsidR="00E85E30" w:rsidRPr="00BA2608">
        <w:t xml:space="preserve">he Victorian </w:t>
      </w:r>
      <w:r w:rsidR="007A02A6">
        <w:t>G</w:t>
      </w:r>
      <w:r w:rsidR="00E85E30" w:rsidRPr="00BA2608">
        <w:t xml:space="preserve">overnment transferred the management responsibilities of </w:t>
      </w:r>
      <w:r w:rsidR="008C0D37" w:rsidRPr="00BA2608">
        <w:t xml:space="preserve">the </w:t>
      </w:r>
      <w:r w:rsidR="00E85E30" w:rsidRPr="00BA2608">
        <w:t xml:space="preserve">former DEPI Forestry Services to VicForests to </w:t>
      </w:r>
      <w:r w:rsidR="00C403F5" w:rsidRPr="00BA2608">
        <w:t xml:space="preserve">better </w:t>
      </w:r>
      <w:r w:rsidR="00E85E30" w:rsidRPr="00BA2608">
        <w:t>separate the forestry governance and regulatory role from management of commercial operations. VicForests now has m</w:t>
      </w:r>
      <w:r w:rsidR="008C0D37" w:rsidRPr="00BA2608">
        <w:t>anagement responsibilities fo</w:t>
      </w:r>
      <w:r w:rsidR="005D299D" w:rsidRPr="00BA2608">
        <w:t>r all commercial harvesting in S</w:t>
      </w:r>
      <w:r w:rsidR="008C0D37" w:rsidRPr="00BA2608">
        <w:t>tate forests</w:t>
      </w:r>
      <w:r w:rsidR="00E85E30" w:rsidRPr="00BA2608">
        <w:t xml:space="preserve"> and has responded to the</w:t>
      </w:r>
      <w:r w:rsidR="008C0D37" w:rsidRPr="00BA2608">
        <w:t xml:space="preserve"> relevant</w:t>
      </w:r>
      <w:r w:rsidR="00E85E30" w:rsidRPr="00BA2608">
        <w:t xml:space="preserve"> audit recommendations </w:t>
      </w:r>
      <w:r w:rsidR="008C0D37" w:rsidRPr="00BA2608">
        <w:t xml:space="preserve">accordingly. </w:t>
      </w:r>
      <w:r w:rsidR="00E85E30" w:rsidRPr="00BA2608">
        <w:t xml:space="preserve"> </w:t>
      </w:r>
    </w:p>
    <w:p w:rsidR="007C0BF1" w:rsidRPr="00BA2608" w:rsidRDefault="008C0D37" w:rsidP="00FC4E61">
      <w:pPr>
        <w:pStyle w:val="Body"/>
      </w:pPr>
      <w:r w:rsidRPr="00BA2608">
        <w:t xml:space="preserve">This </w:t>
      </w:r>
      <w:r w:rsidR="00E85E30" w:rsidRPr="00BA2608">
        <w:t xml:space="preserve">audit assessed the regulatory requirements outlined under the previous version of the </w:t>
      </w:r>
      <w:r w:rsidR="00E85E30" w:rsidRPr="00BA2608">
        <w:rPr>
          <w:i/>
        </w:rPr>
        <w:t>Code of Practice for Timber Production 2007</w:t>
      </w:r>
      <w:r w:rsidR="00E85E30" w:rsidRPr="00BA2608">
        <w:t xml:space="preserve">. A new </w:t>
      </w:r>
      <w:r w:rsidR="00AD5036" w:rsidRPr="00BA2608">
        <w:rPr>
          <w:i/>
        </w:rPr>
        <w:t xml:space="preserve">Code of Practice for Timber Production 2014 </w:t>
      </w:r>
      <w:r w:rsidR="00AD5036" w:rsidRPr="00BA2608">
        <w:t>(2014 Code)</w:t>
      </w:r>
      <w:r w:rsidR="00E85E30" w:rsidRPr="00BA2608">
        <w:t xml:space="preserve"> was released in October 2014. As a result, a number of issues and recommendations outlined in the audit report have</w:t>
      </w:r>
      <w:r w:rsidR="00AA7FC7" w:rsidRPr="00BA2608">
        <w:t xml:space="preserve"> alr</w:t>
      </w:r>
      <w:r w:rsidR="005D299D" w:rsidRPr="00BA2608">
        <w:t xml:space="preserve">eady been addressed in the establishment of </w:t>
      </w:r>
      <w:r w:rsidR="00C403F5" w:rsidRPr="00BA2608">
        <w:t xml:space="preserve">the new </w:t>
      </w:r>
      <w:r w:rsidR="00AD64B2">
        <w:t xml:space="preserve">2014 </w:t>
      </w:r>
      <w:r w:rsidR="00C403F5" w:rsidRPr="00BA2608">
        <w:t>C</w:t>
      </w:r>
      <w:r w:rsidR="00AA7FC7" w:rsidRPr="00BA2608">
        <w:t>ode</w:t>
      </w:r>
      <w:r w:rsidRPr="00BA2608">
        <w:t xml:space="preserve">. </w:t>
      </w:r>
      <w:r w:rsidR="00E85E30" w:rsidRPr="00BA2608">
        <w:t>DELWP has reviewed the audit report and prepared this regulator’s response noting</w:t>
      </w:r>
      <w:r w:rsidR="00C403F5" w:rsidRPr="00BA2608">
        <w:t xml:space="preserve"> a number of</w:t>
      </w:r>
      <w:r w:rsidR="00E85E30" w:rsidRPr="00BA2608">
        <w:t xml:space="preserve"> areas that will be </w:t>
      </w:r>
      <w:r w:rsidR="00AD64B2">
        <w:t xml:space="preserve">further </w:t>
      </w:r>
      <w:r w:rsidR="00E85E30" w:rsidRPr="00BA2608">
        <w:t>considered for change in the next</w:t>
      </w:r>
      <w:r w:rsidRPr="00BA2608">
        <w:t xml:space="preserve"> update</w:t>
      </w:r>
      <w:r w:rsidR="00E85E30" w:rsidRPr="00BA2608">
        <w:t xml:space="preserve"> of the</w:t>
      </w:r>
      <w:r w:rsidR="00C403F5" w:rsidRPr="00BA2608">
        <w:t xml:space="preserve"> C</w:t>
      </w:r>
      <w:r w:rsidR="00E85E30" w:rsidRPr="00BA2608">
        <w:t xml:space="preserve">ode. </w:t>
      </w:r>
    </w:p>
    <w:p w:rsidR="00AA7FC7" w:rsidRPr="00BA2608" w:rsidRDefault="008C0D37" w:rsidP="00FC4E61">
      <w:pPr>
        <w:pStyle w:val="Body"/>
      </w:pPr>
      <w:r w:rsidRPr="00BA2608">
        <w:t>DELWP’s response</w:t>
      </w:r>
      <w:r w:rsidR="00AA7FC7" w:rsidRPr="00BA2608">
        <w:t xml:space="preserve"> to </w:t>
      </w:r>
      <w:r w:rsidRPr="00BA2608">
        <w:t xml:space="preserve">the </w:t>
      </w:r>
      <w:r w:rsidR="00AA7FC7" w:rsidRPr="00BA2608">
        <w:t>13</w:t>
      </w:r>
      <w:r w:rsidR="00C403F5" w:rsidRPr="00BA2608">
        <w:t xml:space="preserve"> audit</w:t>
      </w:r>
      <w:r w:rsidR="00AA7FC7" w:rsidRPr="00BA2608">
        <w:t xml:space="preserve"> recommendations that are relevant to </w:t>
      </w:r>
      <w:r w:rsidR="00AD64B2">
        <w:t xml:space="preserve">the </w:t>
      </w:r>
      <w:r w:rsidR="00AA7FC7" w:rsidRPr="00BA2608">
        <w:t xml:space="preserve">environmental regulation of timber harvesting </w:t>
      </w:r>
      <w:r w:rsidRPr="00BA2608">
        <w:t xml:space="preserve">is provided in Appendix 1. </w:t>
      </w:r>
    </w:p>
    <w:p w:rsidR="00AA7FC7" w:rsidRPr="00BA2608" w:rsidRDefault="00AA7FC7" w:rsidP="00FC4E61">
      <w:pPr>
        <w:pStyle w:val="Body"/>
      </w:pPr>
    </w:p>
    <w:p w:rsidR="00AA7FC7" w:rsidRPr="00BA2608" w:rsidRDefault="00AA7FC7" w:rsidP="00FC4E61">
      <w:pPr>
        <w:pStyle w:val="Body"/>
      </w:pPr>
    </w:p>
    <w:p w:rsidR="00AA7FC7" w:rsidRPr="00BA2608" w:rsidRDefault="00AA7FC7" w:rsidP="00FC4E61">
      <w:pPr>
        <w:pStyle w:val="Body"/>
      </w:pPr>
    </w:p>
    <w:p w:rsidR="00AA7FC7" w:rsidRPr="00BA2608" w:rsidRDefault="008C0D37" w:rsidP="00FC4E61">
      <w:pPr>
        <w:pStyle w:val="Body"/>
        <w:rPr>
          <w:b/>
        </w:rPr>
      </w:pPr>
      <w:r w:rsidRPr="00BA2608">
        <w:rPr>
          <w:b/>
        </w:rPr>
        <w:t>Paul Smith</w:t>
      </w:r>
    </w:p>
    <w:p w:rsidR="00AA7FC7" w:rsidRPr="00BA2608" w:rsidRDefault="008C0D37" w:rsidP="00FC4E61">
      <w:pPr>
        <w:pStyle w:val="Body"/>
      </w:pPr>
      <w:r w:rsidRPr="00BA2608">
        <w:t>Deputy Secretary Land Fire and Environment Division</w:t>
      </w:r>
    </w:p>
    <w:p w:rsidR="00AD64B2" w:rsidRDefault="00AD64B2">
      <w:pPr>
        <w:rPr>
          <w:rFonts w:cs="Arial"/>
        </w:rPr>
      </w:pPr>
      <w:r>
        <w:br w:type="page"/>
      </w:r>
    </w:p>
    <w:p w:rsidR="00FC4E61" w:rsidRPr="00BA2608" w:rsidRDefault="00AD64B2" w:rsidP="00AD64B2">
      <w:pPr>
        <w:pStyle w:val="HB"/>
        <w:jc w:val="center"/>
        <w:rPr>
          <w:color w:val="auto"/>
          <w:sz w:val="22"/>
        </w:rPr>
      </w:pPr>
      <w:r w:rsidRPr="00BA2608">
        <w:rPr>
          <w:color w:val="auto"/>
          <w:sz w:val="22"/>
        </w:rPr>
        <w:lastRenderedPageBreak/>
        <w:t>APPENDIX 1: REGULATOR’S RESPONSE TO AUDIT RECOMMENDATIONS</w:t>
      </w:r>
    </w:p>
    <w:p w:rsidR="00A909D4" w:rsidRPr="00BA2608" w:rsidRDefault="00A909D4" w:rsidP="00A909D4">
      <w:pPr>
        <w:pStyle w:val="Body"/>
      </w:pPr>
    </w:p>
    <w:tbl>
      <w:tblPr>
        <w:tblStyle w:val="TableGrid10"/>
        <w:tblW w:w="10491" w:type="dxa"/>
        <w:tblInd w:w="-318" w:type="dxa"/>
        <w:tblLook w:val="04A0" w:firstRow="1" w:lastRow="0" w:firstColumn="1" w:lastColumn="0" w:noHBand="0" w:noVBand="1"/>
      </w:tblPr>
      <w:tblGrid>
        <w:gridCol w:w="5246"/>
        <w:gridCol w:w="5245"/>
      </w:tblGrid>
      <w:tr w:rsidR="008C0D37" w:rsidRPr="00BA2608" w:rsidTr="00E32E6D">
        <w:trPr>
          <w:tblHeader/>
        </w:trPr>
        <w:tc>
          <w:tcPr>
            <w:tcW w:w="5246" w:type="dxa"/>
            <w:shd w:val="clear" w:color="auto" w:fill="D9D9D9" w:themeFill="background1" w:themeFillShade="D9"/>
          </w:tcPr>
          <w:p w:rsidR="008C0D37" w:rsidRPr="00BA2608" w:rsidRDefault="008C0D37" w:rsidP="00F07FD8">
            <w:pPr>
              <w:rPr>
                <w:b/>
              </w:rPr>
            </w:pPr>
            <w:r w:rsidRPr="00BA2608">
              <w:rPr>
                <w:b/>
              </w:rPr>
              <w:t>Recommendation or issue highlighted in audit report</w:t>
            </w:r>
          </w:p>
        </w:tc>
        <w:tc>
          <w:tcPr>
            <w:tcW w:w="5245" w:type="dxa"/>
            <w:shd w:val="clear" w:color="auto" w:fill="D9D9D9" w:themeFill="background1" w:themeFillShade="D9"/>
          </w:tcPr>
          <w:p w:rsidR="008C0D37" w:rsidRPr="00BA2608" w:rsidRDefault="00BA2608" w:rsidP="00BA2608">
            <w:pPr>
              <w:rPr>
                <w:b/>
              </w:rPr>
            </w:pPr>
            <w:r w:rsidRPr="00BA2608">
              <w:rPr>
                <w:b/>
              </w:rPr>
              <w:t xml:space="preserve">DELWP </w:t>
            </w:r>
            <w:r w:rsidR="00002718" w:rsidRPr="00BA2608">
              <w:rPr>
                <w:b/>
              </w:rPr>
              <w:t xml:space="preserve">response </w:t>
            </w:r>
          </w:p>
        </w:tc>
      </w:tr>
      <w:tr w:rsidR="008C0D37" w:rsidRPr="00BA2608" w:rsidTr="00E32E6D">
        <w:tc>
          <w:tcPr>
            <w:tcW w:w="5246" w:type="dxa"/>
          </w:tcPr>
          <w:p w:rsidR="008C0D37" w:rsidRPr="00BA2608" w:rsidRDefault="008C0D37" w:rsidP="00D76CCD">
            <w:pPr>
              <w:spacing w:before="60" w:after="60"/>
              <w:rPr>
                <w:rFonts w:asciiTheme="minorHAnsi" w:hAnsiTheme="minorHAnsi"/>
                <w:szCs w:val="22"/>
              </w:rPr>
            </w:pPr>
            <w:r w:rsidRPr="00BA2608">
              <w:rPr>
                <w:rFonts w:asciiTheme="minorHAnsi" w:hAnsiTheme="minorHAnsi"/>
                <w:b/>
                <w:szCs w:val="22"/>
              </w:rPr>
              <w:t>Recommendation REG1</w:t>
            </w:r>
            <w:r w:rsidRPr="00BA2608">
              <w:rPr>
                <w:rFonts w:asciiTheme="minorHAnsi" w:hAnsiTheme="minorHAnsi"/>
                <w:szCs w:val="22"/>
              </w:rPr>
              <w:t xml:space="preserve"> - It is recommended that guidance be provided on the location of field assessments in relation to the coupe and on selecting the appropriate soil horizon to use in determining water quality risk. </w:t>
            </w:r>
          </w:p>
          <w:p w:rsidR="008C0D37" w:rsidRPr="00BA2608" w:rsidRDefault="008C0D37" w:rsidP="00D76CCD">
            <w:pPr>
              <w:spacing w:before="60" w:after="60"/>
              <w:rPr>
                <w:rFonts w:asciiTheme="minorHAnsi" w:hAnsiTheme="minorHAnsi"/>
                <w:szCs w:val="22"/>
              </w:rPr>
            </w:pPr>
            <w:r w:rsidRPr="00BA2608">
              <w:rPr>
                <w:rFonts w:asciiTheme="minorHAnsi" w:hAnsiTheme="minorHAnsi"/>
                <w:b/>
                <w:szCs w:val="22"/>
              </w:rPr>
              <w:t>Auditor’s Rationale</w:t>
            </w:r>
            <w:r w:rsidRPr="00BA2608">
              <w:rPr>
                <w:rFonts w:asciiTheme="minorHAnsi" w:hAnsiTheme="minorHAnsi"/>
                <w:szCs w:val="22"/>
              </w:rPr>
              <w:t xml:space="preserve">: As discussed under the </w:t>
            </w:r>
            <w:r w:rsidR="00AD64B2" w:rsidRPr="00BA2608">
              <w:rPr>
                <w:rFonts w:asciiTheme="minorHAnsi" w:hAnsiTheme="minorHAnsi"/>
                <w:szCs w:val="22"/>
              </w:rPr>
              <w:t xml:space="preserve">waterway crossings, waterway classification and water quality risk headings, the auditor notes some interpretation </w:t>
            </w:r>
            <w:r w:rsidRPr="00BA2608">
              <w:rPr>
                <w:rFonts w:asciiTheme="minorHAnsi" w:hAnsiTheme="minorHAnsi"/>
                <w:szCs w:val="22"/>
              </w:rPr>
              <w:t>is required in assessing compliance with the requirements set out in Section 2.2.1 of the Code for field assessments to be used to determine water quality risk.</w:t>
            </w:r>
          </w:p>
          <w:p w:rsidR="008C0D37" w:rsidRPr="00BA2608" w:rsidRDefault="008C0D37" w:rsidP="00D76CCD">
            <w:pPr>
              <w:spacing w:before="60" w:after="60"/>
              <w:rPr>
                <w:rFonts w:asciiTheme="minorHAnsi" w:hAnsiTheme="minorHAnsi"/>
                <w:szCs w:val="22"/>
              </w:rPr>
            </w:pPr>
            <w:r w:rsidRPr="00BA2608">
              <w:rPr>
                <w:rFonts w:asciiTheme="minorHAnsi" w:hAnsiTheme="minorHAnsi"/>
                <w:b/>
                <w:szCs w:val="22"/>
              </w:rPr>
              <w:t>Auditor’s Suggested Priority</w:t>
            </w:r>
            <w:r w:rsidRPr="00BA2608">
              <w:rPr>
                <w:rFonts w:asciiTheme="minorHAnsi" w:hAnsiTheme="minorHAnsi"/>
                <w:szCs w:val="22"/>
              </w:rPr>
              <w:t>: Medium</w:t>
            </w:r>
          </w:p>
        </w:tc>
        <w:tc>
          <w:tcPr>
            <w:tcW w:w="5245" w:type="dxa"/>
          </w:tcPr>
          <w:p w:rsidR="008C0D37" w:rsidRPr="00BA2608" w:rsidRDefault="00A02559" w:rsidP="00047AC6">
            <w:pPr>
              <w:spacing w:before="60" w:after="60"/>
              <w:ind w:left="34"/>
              <w:rPr>
                <w:rFonts w:asciiTheme="minorHAnsi" w:hAnsiTheme="minorHAnsi"/>
                <w:szCs w:val="22"/>
              </w:rPr>
            </w:pPr>
            <w:r w:rsidRPr="00BA2608">
              <w:rPr>
                <w:rFonts w:asciiTheme="minorHAnsi" w:hAnsiTheme="minorHAnsi"/>
                <w:szCs w:val="22"/>
              </w:rPr>
              <w:t xml:space="preserve">This recommendation was addressed in </w:t>
            </w:r>
            <w:r w:rsidR="0076050D" w:rsidRPr="00BA2608">
              <w:rPr>
                <w:rFonts w:asciiTheme="minorHAnsi" w:hAnsiTheme="minorHAnsi"/>
                <w:szCs w:val="22"/>
              </w:rPr>
              <w:t xml:space="preserve">section </w:t>
            </w:r>
            <w:r w:rsidR="00047AC6" w:rsidRPr="00BA2608">
              <w:rPr>
                <w:rFonts w:asciiTheme="minorHAnsi" w:hAnsiTheme="minorHAnsi"/>
                <w:szCs w:val="22"/>
              </w:rPr>
              <w:t>3.2.1.2</w:t>
            </w:r>
            <w:r w:rsidR="0076050D" w:rsidRPr="00BA2608">
              <w:rPr>
                <w:rFonts w:asciiTheme="minorHAnsi" w:hAnsiTheme="minorHAnsi"/>
                <w:szCs w:val="22"/>
              </w:rPr>
              <w:t xml:space="preserve"> of </w:t>
            </w:r>
            <w:r w:rsidR="008A3013" w:rsidRPr="00BA2608">
              <w:rPr>
                <w:rFonts w:asciiTheme="minorHAnsi" w:hAnsiTheme="minorHAnsi"/>
                <w:szCs w:val="22"/>
              </w:rPr>
              <w:t xml:space="preserve">the </w:t>
            </w:r>
            <w:r w:rsidRPr="00BA2608">
              <w:rPr>
                <w:rFonts w:asciiTheme="minorHAnsi" w:hAnsiTheme="minorHAnsi"/>
                <w:szCs w:val="22"/>
              </w:rPr>
              <w:t xml:space="preserve">new  </w:t>
            </w:r>
            <w:r w:rsidRPr="00BA2608">
              <w:rPr>
                <w:rFonts w:asciiTheme="minorHAnsi" w:hAnsiTheme="minorHAnsi"/>
                <w:i/>
                <w:szCs w:val="22"/>
              </w:rPr>
              <w:t xml:space="preserve">Management Standards and Procedures for timber harvesting operations in Victoria’s State forests 2014 </w:t>
            </w:r>
            <w:r w:rsidRPr="00BA2608">
              <w:rPr>
                <w:rFonts w:asciiTheme="minorHAnsi" w:hAnsiTheme="minorHAnsi"/>
                <w:szCs w:val="22"/>
              </w:rPr>
              <w:t>(MSPs).</w:t>
            </w:r>
          </w:p>
        </w:tc>
      </w:tr>
      <w:tr w:rsidR="008C0D37" w:rsidRPr="00BA2608" w:rsidTr="00E32E6D">
        <w:tc>
          <w:tcPr>
            <w:tcW w:w="5246" w:type="dxa"/>
          </w:tcPr>
          <w:p w:rsidR="008C0D37" w:rsidRPr="00BA2608" w:rsidRDefault="008C0D37" w:rsidP="00D76CCD">
            <w:pPr>
              <w:spacing w:before="60" w:after="60"/>
              <w:rPr>
                <w:rFonts w:asciiTheme="minorHAnsi" w:hAnsiTheme="minorHAnsi"/>
                <w:szCs w:val="22"/>
              </w:rPr>
            </w:pPr>
            <w:r w:rsidRPr="00BA2608">
              <w:rPr>
                <w:rFonts w:asciiTheme="minorHAnsi" w:hAnsiTheme="minorHAnsi"/>
                <w:b/>
                <w:szCs w:val="22"/>
              </w:rPr>
              <w:t>Recommendation REG2</w:t>
            </w:r>
            <w:r w:rsidRPr="00BA2608">
              <w:rPr>
                <w:rFonts w:asciiTheme="minorHAnsi" w:hAnsiTheme="minorHAnsi"/>
                <w:szCs w:val="22"/>
              </w:rPr>
              <w:t xml:space="preserve"> – It is recommended that ‘steep slopes’ be defined. </w:t>
            </w:r>
          </w:p>
          <w:p w:rsidR="008C0D37" w:rsidRPr="00BA2608" w:rsidRDefault="008C0D37" w:rsidP="00D76CCD">
            <w:pPr>
              <w:spacing w:before="60" w:after="60"/>
              <w:rPr>
                <w:rFonts w:asciiTheme="minorHAnsi" w:hAnsiTheme="minorHAnsi"/>
                <w:szCs w:val="22"/>
              </w:rPr>
            </w:pPr>
            <w:r w:rsidRPr="00BA2608">
              <w:rPr>
                <w:rFonts w:asciiTheme="minorHAnsi" w:hAnsiTheme="minorHAnsi"/>
                <w:b/>
                <w:szCs w:val="22"/>
              </w:rPr>
              <w:t>Auditor’s Rationale</w:t>
            </w:r>
            <w:r w:rsidRPr="00BA2608">
              <w:rPr>
                <w:rFonts w:asciiTheme="minorHAnsi" w:hAnsiTheme="minorHAnsi"/>
                <w:szCs w:val="22"/>
              </w:rPr>
              <w:t>: A degree of interpretation is required to determine where requirements for steep slopes apply as the Code and Management Procedures do not provide a definition of ‘steep slopes’.</w:t>
            </w:r>
          </w:p>
          <w:p w:rsidR="008C0D37" w:rsidRPr="00BA2608" w:rsidRDefault="008C0D37" w:rsidP="00D76CCD">
            <w:pPr>
              <w:spacing w:before="60" w:after="60"/>
              <w:rPr>
                <w:rFonts w:asciiTheme="minorHAnsi" w:hAnsiTheme="minorHAnsi"/>
                <w:szCs w:val="22"/>
              </w:rPr>
            </w:pPr>
            <w:r w:rsidRPr="00BA2608">
              <w:rPr>
                <w:rFonts w:asciiTheme="minorHAnsi" w:hAnsiTheme="minorHAnsi"/>
                <w:b/>
                <w:szCs w:val="22"/>
              </w:rPr>
              <w:t>Auditor’s Suggested Priority</w:t>
            </w:r>
            <w:r w:rsidRPr="00BA2608">
              <w:rPr>
                <w:rFonts w:asciiTheme="minorHAnsi" w:hAnsiTheme="minorHAnsi"/>
                <w:szCs w:val="22"/>
              </w:rPr>
              <w:t>: Medium</w:t>
            </w:r>
          </w:p>
        </w:tc>
        <w:tc>
          <w:tcPr>
            <w:tcW w:w="5245" w:type="dxa"/>
          </w:tcPr>
          <w:p w:rsidR="008C0D37" w:rsidRPr="00BA2608" w:rsidRDefault="000D19B9" w:rsidP="00A87AC6">
            <w:pPr>
              <w:spacing w:before="60" w:after="60"/>
              <w:rPr>
                <w:rFonts w:asciiTheme="minorHAnsi" w:hAnsiTheme="minorHAnsi"/>
                <w:szCs w:val="22"/>
              </w:rPr>
            </w:pPr>
            <w:r w:rsidRPr="00BA2608">
              <w:rPr>
                <w:rFonts w:asciiTheme="minorHAnsi" w:hAnsiTheme="minorHAnsi"/>
                <w:szCs w:val="22"/>
              </w:rPr>
              <w:t xml:space="preserve">This recommendation was addressed in </w:t>
            </w:r>
            <w:r w:rsidR="0076050D" w:rsidRPr="00BA2608">
              <w:rPr>
                <w:rFonts w:asciiTheme="minorHAnsi" w:hAnsiTheme="minorHAnsi"/>
                <w:szCs w:val="22"/>
              </w:rPr>
              <w:t xml:space="preserve">section </w:t>
            </w:r>
            <w:r w:rsidR="00A87AC6" w:rsidRPr="00BA2608">
              <w:rPr>
                <w:rFonts w:asciiTheme="minorHAnsi" w:hAnsiTheme="minorHAnsi"/>
                <w:szCs w:val="22"/>
              </w:rPr>
              <w:t>3.4.1</w:t>
            </w:r>
            <w:r w:rsidR="0076050D" w:rsidRPr="00BA2608">
              <w:rPr>
                <w:rFonts w:asciiTheme="minorHAnsi" w:hAnsiTheme="minorHAnsi"/>
                <w:szCs w:val="22"/>
              </w:rPr>
              <w:t xml:space="preserve"> of </w:t>
            </w:r>
            <w:r w:rsidR="005016B6" w:rsidRPr="00BA2608">
              <w:rPr>
                <w:rFonts w:asciiTheme="minorHAnsi" w:hAnsiTheme="minorHAnsi"/>
                <w:szCs w:val="22"/>
              </w:rPr>
              <w:t xml:space="preserve">the </w:t>
            </w:r>
            <w:r w:rsidRPr="00BA2608">
              <w:rPr>
                <w:rFonts w:asciiTheme="minorHAnsi" w:hAnsiTheme="minorHAnsi"/>
                <w:szCs w:val="22"/>
              </w:rPr>
              <w:t xml:space="preserve">new </w:t>
            </w:r>
            <w:r w:rsidR="005C1A86" w:rsidRPr="00BA2608">
              <w:rPr>
                <w:rFonts w:asciiTheme="minorHAnsi" w:hAnsiTheme="minorHAnsi"/>
                <w:szCs w:val="22"/>
              </w:rPr>
              <w:t>MSPs</w:t>
            </w:r>
            <w:r w:rsidRPr="00BA2608">
              <w:rPr>
                <w:rFonts w:asciiTheme="minorHAnsi" w:hAnsiTheme="minorHAnsi"/>
                <w:i/>
                <w:szCs w:val="22"/>
              </w:rPr>
              <w:t>.</w:t>
            </w:r>
            <w:r w:rsidRPr="00BA2608">
              <w:rPr>
                <w:rFonts w:asciiTheme="minorHAnsi" w:hAnsiTheme="minorHAnsi"/>
                <w:szCs w:val="22"/>
              </w:rPr>
              <w:t xml:space="preserve"> </w:t>
            </w:r>
          </w:p>
        </w:tc>
      </w:tr>
      <w:tr w:rsidR="008C0D37" w:rsidRPr="00BA2608" w:rsidTr="00E32E6D">
        <w:tc>
          <w:tcPr>
            <w:tcW w:w="5246" w:type="dxa"/>
          </w:tcPr>
          <w:p w:rsidR="008C0D37" w:rsidRPr="00BA2608" w:rsidRDefault="008C0D37" w:rsidP="00D76CCD">
            <w:pPr>
              <w:spacing w:before="60" w:after="60"/>
              <w:rPr>
                <w:rFonts w:asciiTheme="minorHAnsi" w:hAnsiTheme="minorHAnsi"/>
                <w:szCs w:val="22"/>
              </w:rPr>
            </w:pPr>
            <w:r w:rsidRPr="00BA2608">
              <w:rPr>
                <w:rFonts w:asciiTheme="minorHAnsi" w:hAnsiTheme="minorHAnsi"/>
                <w:b/>
                <w:szCs w:val="22"/>
              </w:rPr>
              <w:t>Recommendation REG3</w:t>
            </w:r>
            <w:r w:rsidRPr="00BA2608">
              <w:rPr>
                <w:rFonts w:asciiTheme="minorHAnsi" w:hAnsiTheme="minorHAnsi"/>
                <w:szCs w:val="22"/>
              </w:rPr>
              <w:t xml:space="preserve"> - It is recommended that DEPI develops, in consultation with VicForests, a robust process for the reporting of threatened species information that has been detected by VicForests and requires zoning amendment.</w:t>
            </w:r>
          </w:p>
          <w:p w:rsidR="008C0D37" w:rsidRPr="00BA2608" w:rsidRDefault="008C0D37" w:rsidP="00D76CCD">
            <w:pPr>
              <w:spacing w:before="60" w:after="60"/>
              <w:rPr>
                <w:rFonts w:asciiTheme="minorHAnsi" w:hAnsiTheme="minorHAnsi"/>
                <w:szCs w:val="22"/>
              </w:rPr>
            </w:pPr>
            <w:r w:rsidRPr="00BA2608">
              <w:rPr>
                <w:rFonts w:asciiTheme="minorHAnsi" w:hAnsiTheme="minorHAnsi"/>
                <w:b/>
                <w:szCs w:val="22"/>
              </w:rPr>
              <w:t>Auditor’s Rationale</w:t>
            </w:r>
            <w:r w:rsidRPr="00BA2608">
              <w:rPr>
                <w:rFonts w:asciiTheme="minorHAnsi" w:hAnsiTheme="minorHAnsi"/>
                <w:szCs w:val="22"/>
              </w:rPr>
              <w:t>: VicForests had identified Leadbeater’s Possum 1A habitat at three coupes (C3, C9 (also a slope exclusion area) and C18) and set these areas aside in exclusion zones.  These zones had also been incorporated into VicForests’ “Reserves spatial layer” for future rezoning as Special Protection Zone for long-term conservation, as required.  However, there was no clear and robust process evident for reporting threatened species information detected at coupes and requiring zoning amendment, to DEPI (responsible for administering and implementing forest zoning changes).</w:t>
            </w:r>
          </w:p>
          <w:p w:rsidR="008C0D37" w:rsidRPr="00BA2608" w:rsidRDefault="008C0D37" w:rsidP="00D76CCD">
            <w:pPr>
              <w:spacing w:before="60" w:after="60"/>
              <w:rPr>
                <w:rFonts w:asciiTheme="minorHAnsi" w:hAnsiTheme="minorHAnsi"/>
                <w:szCs w:val="22"/>
              </w:rPr>
            </w:pPr>
            <w:r w:rsidRPr="00BA2608">
              <w:rPr>
                <w:rFonts w:asciiTheme="minorHAnsi" w:hAnsiTheme="minorHAnsi"/>
                <w:b/>
                <w:szCs w:val="22"/>
              </w:rPr>
              <w:t>Auditor’s Suggested Priority</w:t>
            </w:r>
            <w:r w:rsidRPr="00BA2608">
              <w:rPr>
                <w:rFonts w:asciiTheme="minorHAnsi" w:hAnsiTheme="minorHAnsi"/>
                <w:szCs w:val="22"/>
              </w:rPr>
              <w:t>: Low</w:t>
            </w:r>
          </w:p>
        </w:tc>
        <w:tc>
          <w:tcPr>
            <w:tcW w:w="5245" w:type="dxa"/>
          </w:tcPr>
          <w:p w:rsidR="00D564A9" w:rsidRPr="00BA2608" w:rsidRDefault="00BA2608" w:rsidP="005C1A86">
            <w:pPr>
              <w:spacing w:before="60" w:after="60"/>
              <w:rPr>
                <w:rFonts w:asciiTheme="minorHAnsi" w:hAnsiTheme="minorHAnsi"/>
                <w:szCs w:val="22"/>
              </w:rPr>
            </w:pPr>
            <w:r w:rsidRPr="00BA2608">
              <w:rPr>
                <w:rFonts w:asciiTheme="minorHAnsi" w:hAnsiTheme="minorHAnsi"/>
                <w:szCs w:val="22"/>
              </w:rPr>
              <w:t>This recommendation has been partially addressed in</w:t>
            </w:r>
            <w:r w:rsidRPr="00BA2608">
              <w:t xml:space="preserve"> </w:t>
            </w:r>
            <w:r w:rsidRPr="00BA2608">
              <w:rPr>
                <w:rFonts w:asciiTheme="minorHAnsi" w:hAnsiTheme="minorHAnsi"/>
                <w:szCs w:val="22"/>
              </w:rPr>
              <w:t>the 2014 Code.</w:t>
            </w:r>
            <w:r>
              <w:rPr>
                <w:rFonts w:asciiTheme="minorHAnsi" w:hAnsiTheme="minorHAnsi"/>
                <w:szCs w:val="22"/>
              </w:rPr>
              <w:t xml:space="preserve"> </w:t>
            </w:r>
            <w:r w:rsidR="00BA5BB0" w:rsidRPr="00BA2608">
              <w:rPr>
                <w:rFonts w:asciiTheme="minorHAnsi" w:hAnsiTheme="minorHAnsi"/>
                <w:szCs w:val="22"/>
              </w:rPr>
              <w:t xml:space="preserve">A </w:t>
            </w:r>
            <w:r w:rsidR="005377F6" w:rsidRPr="00BA2608">
              <w:rPr>
                <w:rFonts w:asciiTheme="minorHAnsi" w:hAnsiTheme="minorHAnsi"/>
                <w:szCs w:val="22"/>
              </w:rPr>
              <w:t>process</w:t>
            </w:r>
            <w:r w:rsidR="00E32E6D" w:rsidRPr="00BA2608">
              <w:rPr>
                <w:rFonts w:asciiTheme="minorHAnsi" w:hAnsiTheme="minorHAnsi"/>
                <w:szCs w:val="22"/>
              </w:rPr>
              <w:t xml:space="preserve"> is underway</w:t>
            </w:r>
            <w:r>
              <w:rPr>
                <w:rFonts w:asciiTheme="minorHAnsi" w:hAnsiTheme="minorHAnsi"/>
                <w:szCs w:val="22"/>
              </w:rPr>
              <w:t xml:space="preserve"> to address this</w:t>
            </w:r>
            <w:r w:rsidR="000D19B9" w:rsidRPr="00BA2608">
              <w:rPr>
                <w:rFonts w:asciiTheme="minorHAnsi" w:hAnsiTheme="minorHAnsi"/>
                <w:szCs w:val="22"/>
              </w:rPr>
              <w:t xml:space="preserve">. </w:t>
            </w:r>
          </w:p>
          <w:p w:rsidR="00D564A9" w:rsidRPr="00BA2608" w:rsidRDefault="00D564A9" w:rsidP="00D564A9">
            <w:pPr>
              <w:spacing w:before="60" w:after="60"/>
              <w:rPr>
                <w:rFonts w:asciiTheme="minorHAnsi" w:hAnsiTheme="minorHAnsi"/>
                <w:szCs w:val="22"/>
              </w:rPr>
            </w:pPr>
            <w:r w:rsidRPr="00BA2608">
              <w:rPr>
                <w:rFonts w:asciiTheme="minorHAnsi" w:hAnsiTheme="minorHAnsi"/>
                <w:szCs w:val="22"/>
              </w:rPr>
              <w:t xml:space="preserve">Section 2.1.1 </w:t>
            </w:r>
            <w:r w:rsidR="00BA5BB0" w:rsidRPr="00BA2608">
              <w:rPr>
                <w:rFonts w:asciiTheme="minorHAnsi" w:hAnsiTheme="minorHAnsi"/>
                <w:szCs w:val="22"/>
              </w:rPr>
              <w:t xml:space="preserve">of the 2014 Code </w:t>
            </w:r>
            <w:r w:rsidRPr="00BA2608">
              <w:rPr>
                <w:rFonts w:asciiTheme="minorHAnsi" w:hAnsiTheme="minorHAnsi"/>
                <w:szCs w:val="22"/>
              </w:rPr>
              <w:t>provides contextual information about forest zones and the Forest Management Zoning Scheme (FMZS). Section 2.5.1.1 notes that planning and management of timber harvesting operations must comply with relevant coupe management measures specified in the MSPs.</w:t>
            </w:r>
          </w:p>
          <w:p w:rsidR="00D564A9" w:rsidRPr="00BA2608" w:rsidRDefault="00D564A9" w:rsidP="00D564A9">
            <w:pPr>
              <w:spacing w:before="60" w:after="60"/>
              <w:rPr>
                <w:rFonts w:asciiTheme="minorHAnsi" w:hAnsiTheme="minorHAnsi"/>
                <w:szCs w:val="22"/>
              </w:rPr>
            </w:pPr>
            <w:r w:rsidRPr="00BA2608">
              <w:rPr>
                <w:rFonts w:asciiTheme="minorHAnsi" w:hAnsiTheme="minorHAnsi"/>
                <w:szCs w:val="22"/>
              </w:rPr>
              <w:t>Section 2.1.1.1 of the MSPs notes that when planning timber harvesting operations VicForests will refer to the department’s FMZ100 geospatial layer for locations and information associated with the FMZS.</w:t>
            </w:r>
          </w:p>
          <w:p w:rsidR="00D564A9" w:rsidRPr="00BA2608" w:rsidRDefault="00D564A9" w:rsidP="00D564A9">
            <w:pPr>
              <w:spacing w:before="60" w:after="60"/>
              <w:rPr>
                <w:rFonts w:asciiTheme="minorHAnsi" w:hAnsiTheme="minorHAnsi"/>
                <w:szCs w:val="22"/>
              </w:rPr>
            </w:pPr>
            <w:r w:rsidRPr="00BA2608">
              <w:rPr>
                <w:rFonts w:asciiTheme="minorHAnsi" w:hAnsiTheme="minorHAnsi"/>
                <w:szCs w:val="22"/>
              </w:rPr>
              <w:t xml:space="preserve">Section 2.1.1.2 of the MSPs notes that where special protection or management zones are based on modelled </w:t>
            </w:r>
            <w:r w:rsidR="00BA5BB0" w:rsidRPr="00BA2608">
              <w:rPr>
                <w:rFonts w:asciiTheme="minorHAnsi" w:hAnsiTheme="minorHAnsi"/>
                <w:szCs w:val="22"/>
              </w:rPr>
              <w:t xml:space="preserve">values </w:t>
            </w:r>
            <w:r w:rsidRPr="00BA2608">
              <w:rPr>
                <w:rFonts w:asciiTheme="minorHAnsi" w:hAnsiTheme="minorHAnsi"/>
                <w:szCs w:val="22"/>
              </w:rPr>
              <w:t>or incorrectly mapped feature</w:t>
            </w:r>
            <w:r w:rsidR="00BA5BB0" w:rsidRPr="00BA2608">
              <w:rPr>
                <w:rFonts w:asciiTheme="minorHAnsi" w:hAnsiTheme="minorHAnsi"/>
                <w:szCs w:val="22"/>
              </w:rPr>
              <w:t>s</w:t>
            </w:r>
            <w:r w:rsidRPr="00BA2608">
              <w:rPr>
                <w:rFonts w:asciiTheme="minorHAnsi" w:hAnsiTheme="minorHAnsi"/>
                <w:szCs w:val="22"/>
              </w:rPr>
              <w:t xml:space="preserve"> that do not exist in the field or </w:t>
            </w:r>
            <w:r w:rsidR="00BA5BB0" w:rsidRPr="00BA2608">
              <w:rPr>
                <w:rFonts w:asciiTheme="minorHAnsi" w:hAnsiTheme="minorHAnsi"/>
                <w:szCs w:val="22"/>
              </w:rPr>
              <w:t xml:space="preserve">are </w:t>
            </w:r>
            <w:r w:rsidRPr="00BA2608">
              <w:rPr>
                <w:rFonts w:asciiTheme="minorHAnsi" w:hAnsiTheme="minorHAnsi"/>
                <w:szCs w:val="22"/>
              </w:rPr>
              <w:t xml:space="preserve">incorrectly located, application may be made prior to the harvesting operation to convert </w:t>
            </w:r>
            <w:r w:rsidR="00BA5BB0" w:rsidRPr="00BA2608">
              <w:rPr>
                <w:rFonts w:asciiTheme="minorHAnsi" w:hAnsiTheme="minorHAnsi"/>
                <w:szCs w:val="22"/>
              </w:rPr>
              <w:t>the zone back to a general zone</w:t>
            </w:r>
            <w:r w:rsidRPr="00BA2608">
              <w:rPr>
                <w:rFonts w:asciiTheme="minorHAnsi" w:hAnsiTheme="minorHAnsi"/>
                <w:szCs w:val="22"/>
              </w:rPr>
              <w:t>.</w:t>
            </w:r>
          </w:p>
          <w:p w:rsidR="00D564A9" w:rsidRPr="00BA2608" w:rsidRDefault="00D564A9" w:rsidP="00BA5BB0">
            <w:pPr>
              <w:spacing w:before="60" w:after="120"/>
              <w:rPr>
                <w:rFonts w:asciiTheme="minorHAnsi" w:hAnsiTheme="minorHAnsi"/>
                <w:szCs w:val="22"/>
              </w:rPr>
            </w:pPr>
            <w:r w:rsidRPr="00BA2608">
              <w:rPr>
                <w:rFonts w:asciiTheme="minorHAnsi" w:hAnsiTheme="minorHAnsi"/>
                <w:szCs w:val="22"/>
              </w:rPr>
              <w:t xml:space="preserve">Section 2.1.1.3 of the MSPs notes that where evidence </w:t>
            </w:r>
            <w:r w:rsidRPr="00BA2608">
              <w:rPr>
                <w:rFonts w:asciiTheme="minorHAnsi" w:hAnsiTheme="minorHAnsi"/>
                <w:szCs w:val="22"/>
              </w:rPr>
              <w:lastRenderedPageBreak/>
              <w:t xml:space="preserve">of a value that requires protection via </w:t>
            </w:r>
            <w:r w:rsidR="00BA5BB0" w:rsidRPr="00BA2608">
              <w:rPr>
                <w:rFonts w:asciiTheme="minorHAnsi" w:hAnsiTheme="minorHAnsi"/>
                <w:szCs w:val="22"/>
              </w:rPr>
              <w:t xml:space="preserve">special protection or management zones </w:t>
            </w:r>
            <w:r w:rsidRPr="00BA2608">
              <w:rPr>
                <w:rFonts w:asciiTheme="minorHAnsi" w:hAnsiTheme="minorHAnsi"/>
                <w:szCs w:val="22"/>
              </w:rPr>
              <w:t>is found in the field</w:t>
            </w:r>
            <w:r w:rsidR="00BA5BB0" w:rsidRPr="00BA2608">
              <w:rPr>
                <w:rFonts w:asciiTheme="minorHAnsi" w:hAnsiTheme="minorHAnsi"/>
                <w:szCs w:val="22"/>
              </w:rPr>
              <w:t>,</w:t>
            </w:r>
            <w:r w:rsidRPr="00BA2608">
              <w:rPr>
                <w:rFonts w:asciiTheme="minorHAnsi" w:hAnsiTheme="minorHAnsi"/>
                <w:szCs w:val="22"/>
              </w:rPr>
              <w:t xml:space="preserve"> application </w:t>
            </w:r>
            <w:r w:rsidRPr="00BA2608">
              <w:rPr>
                <w:rFonts w:asciiTheme="minorHAnsi" w:hAnsiTheme="minorHAnsi"/>
                <w:szCs w:val="22"/>
                <w:u w:val="single"/>
              </w:rPr>
              <w:t>must</w:t>
            </w:r>
            <w:r w:rsidRPr="00BA2608">
              <w:rPr>
                <w:rFonts w:asciiTheme="minorHAnsi" w:hAnsiTheme="minorHAnsi"/>
                <w:szCs w:val="22"/>
              </w:rPr>
              <w:t xml:space="preserve"> be made prior to commencement of the timber harvesting operation to create or amend </w:t>
            </w:r>
            <w:r w:rsidR="00BA5BB0" w:rsidRPr="00BA2608">
              <w:rPr>
                <w:rFonts w:asciiTheme="minorHAnsi" w:hAnsiTheme="minorHAnsi"/>
                <w:szCs w:val="22"/>
              </w:rPr>
              <w:t xml:space="preserve">the zones in </w:t>
            </w:r>
            <w:r w:rsidRPr="00BA2608">
              <w:rPr>
                <w:rFonts w:asciiTheme="minorHAnsi" w:hAnsiTheme="minorHAnsi"/>
                <w:szCs w:val="22"/>
              </w:rPr>
              <w:t xml:space="preserve">accordance with Appendix 5 </w:t>
            </w:r>
            <w:r w:rsidR="00BA5BB0" w:rsidRPr="00BA2608">
              <w:rPr>
                <w:rFonts w:asciiTheme="minorHAnsi" w:hAnsiTheme="minorHAnsi"/>
                <w:szCs w:val="22"/>
              </w:rPr>
              <w:t xml:space="preserve">- </w:t>
            </w:r>
            <w:r w:rsidRPr="00BA2608">
              <w:rPr>
                <w:rFonts w:asciiTheme="minorHAnsi" w:hAnsiTheme="minorHAnsi"/>
                <w:szCs w:val="22"/>
              </w:rPr>
              <w:t xml:space="preserve">the Planning Standards. </w:t>
            </w:r>
            <w:r w:rsidR="00BA5BB0" w:rsidRPr="00BA2608">
              <w:rPr>
                <w:rFonts w:asciiTheme="minorHAnsi" w:hAnsiTheme="minorHAnsi"/>
                <w:szCs w:val="22"/>
              </w:rPr>
              <w:t xml:space="preserve">Special management zone </w:t>
            </w:r>
            <w:r w:rsidRPr="00BA2608">
              <w:rPr>
                <w:rFonts w:asciiTheme="minorHAnsi" w:hAnsiTheme="minorHAnsi"/>
                <w:szCs w:val="22"/>
              </w:rPr>
              <w:t xml:space="preserve">applications must be accompanied by </w:t>
            </w:r>
            <w:r w:rsidR="00BA5BB0" w:rsidRPr="00BA2608">
              <w:rPr>
                <w:rFonts w:asciiTheme="minorHAnsi" w:hAnsiTheme="minorHAnsi"/>
                <w:szCs w:val="22"/>
              </w:rPr>
              <w:t xml:space="preserve">an associated </w:t>
            </w:r>
            <w:r w:rsidRPr="00BA2608">
              <w:rPr>
                <w:rFonts w:asciiTheme="minorHAnsi" w:hAnsiTheme="minorHAnsi"/>
                <w:szCs w:val="22"/>
              </w:rPr>
              <w:t>plan and must be complied with during timber harvesting operations.</w:t>
            </w:r>
          </w:p>
          <w:p w:rsidR="008C0D37" w:rsidRPr="00BA2608" w:rsidRDefault="00E32E6D" w:rsidP="00BA5BB0">
            <w:pPr>
              <w:spacing w:before="60" w:after="120"/>
              <w:rPr>
                <w:rFonts w:asciiTheme="minorHAnsi" w:hAnsiTheme="minorHAnsi"/>
                <w:szCs w:val="22"/>
              </w:rPr>
            </w:pPr>
            <w:r w:rsidRPr="00BA2608">
              <w:rPr>
                <w:rFonts w:asciiTheme="minorHAnsi" w:hAnsiTheme="minorHAnsi"/>
                <w:szCs w:val="22"/>
              </w:rPr>
              <w:t xml:space="preserve">DELWP is </w:t>
            </w:r>
            <w:r w:rsidR="00BA5BB0" w:rsidRPr="00BA2608">
              <w:rPr>
                <w:rFonts w:asciiTheme="minorHAnsi" w:hAnsiTheme="minorHAnsi"/>
                <w:szCs w:val="22"/>
              </w:rPr>
              <w:t xml:space="preserve">currently </w:t>
            </w:r>
            <w:r w:rsidR="00D564A9" w:rsidRPr="00BA2608">
              <w:rPr>
                <w:rFonts w:asciiTheme="minorHAnsi" w:hAnsiTheme="minorHAnsi"/>
                <w:szCs w:val="22"/>
              </w:rPr>
              <w:t xml:space="preserve">working with </w:t>
            </w:r>
            <w:r w:rsidR="000D19B9" w:rsidRPr="00BA2608">
              <w:rPr>
                <w:rFonts w:asciiTheme="minorHAnsi" w:hAnsiTheme="minorHAnsi"/>
                <w:szCs w:val="22"/>
              </w:rPr>
              <w:t>VicForests</w:t>
            </w:r>
            <w:r w:rsidR="00D564A9" w:rsidRPr="00BA2608">
              <w:rPr>
                <w:rFonts w:asciiTheme="minorHAnsi" w:hAnsiTheme="minorHAnsi"/>
                <w:szCs w:val="22"/>
              </w:rPr>
              <w:t xml:space="preserve"> to </w:t>
            </w:r>
            <w:r w:rsidR="00BA5BB0" w:rsidRPr="00BA2608">
              <w:rPr>
                <w:rFonts w:asciiTheme="minorHAnsi" w:hAnsiTheme="minorHAnsi"/>
                <w:szCs w:val="22"/>
              </w:rPr>
              <w:t xml:space="preserve">embed an </w:t>
            </w:r>
            <w:r w:rsidR="00D564A9" w:rsidRPr="00BA2608">
              <w:rPr>
                <w:rFonts w:asciiTheme="minorHAnsi" w:hAnsiTheme="minorHAnsi"/>
                <w:szCs w:val="22"/>
              </w:rPr>
              <w:t>appropriate reporting procedure</w:t>
            </w:r>
            <w:r w:rsidR="000D19B9" w:rsidRPr="00BA2608">
              <w:rPr>
                <w:rFonts w:asciiTheme="minorHAnsi" w:hAnsiTheme="minorHAnsi"/>
                <w:szCs w:val="22"/>
              </w:rPr>
              <w:t xml:space="preserve">. </w:t>
            </w:r>
          </w:p>
        </w:tc>
      </w:tr>
      <w:tr w:rsidR="008C0D37" w:rsidRPr="00BA2608" w:rsidTr="00E32E6D">
        <w:tc>
          <w:tcPr>
            <w:tcW w:w="5246" w:type="dxa"/>
          </w:tcPr>
          <w:p w:rsidR="008C0D37" w:rsidRPr="00BA2608" w:rsidRDefault="008C0D37" w:rsidP="00D76CCD">
            <w:pPr>
              <w:spacing w:before="60" w:after="60"/>
              <w:rPr>
                <w:rFonts w:asciiTheme="minorHAnsi" w:hAnsiTheme="minorHAnsi"/>
                <w:szCs w:val="22"/>
              </w:rPr>
            </w:pPr>
            <w:r w:rsidRPr="00BA2608">
              <w:rPr>
                <w:rFonts w:asciiTheme="minorHAnsi" w:hAnsiTheme="minorHAnsi"/>
                <w:b/>
                <w:szCs w:val="22"/>
              </w:rPr>
              <w:lastRenderedPageBreak/>
              <w:t>Recommendation REG4</w:t>
            </w:r>
            <w:r w:rsidRPr="00BA2608">
              <w:rPr>
                <w:rFonts w:asciiTheme="minorHAnsi" w:hAnsiTheme="minorHAnsi"/>
                <w:szCs w:val="22"/>
              </w:rPr>
              <w:t xml:space="preserve"> – It is recommended that DEPI reviews threatened flora and fauna models developed in association with the Permitted Clearing of Native Vegetation: Biodiversity Assessment Guidelines policy to assess applicability for forestry applications; and if appropriate, they be made available for use by VicForests and DEPI Forestry Services.</w:t>
            </w:r>
          </w:p>
          <w:p w:rsidR="008C0D37" w:rsidRPr="00BA2608" w:rsidRDefault="008C0D37" w:rsidP="00D76CCD">
            <w:pPr>
              <w:spacing w:before="60" w:after="60"/>
              <w:rPr>
                <w:rFonts w:asciiTheme="minorHAnsi" w:hAnsiTheme="minorHAnsi"/>
                <w:szCs w:val="22"/>
              </w:rPr>
            </w:pPr>
            <w:r w:rsidRPr="00BA2608">
              <w:rPr>
                <w:rFonts w:asciiTheme="minorHAnsi" w:hAnsiTheme="minorHAnsi"/>
                <w:b/>
                <w:szCs w:val="22"/>
              </w:rPr>
              <w:t>Auditor’s Rationale</w:t>
            </w:r>
            <w:r w:rsidRPr="00BA2608">
              <w:rPr>
                <w:rFonts w:asciiTheme="minorHAnsi" w:hAnsiTheme="minorHAnsi"/>
                <w:szCs w:val="22"/>
              </w:rPr>
              <w:t>:  DEPI has  recently produced over 1,500 threatened flora and fauna models for the purpose of identifying offset requirements under the Permitted Clearing of Native Vegetation: Biodiversity Assessment Guidelines policy. The models were not developed for use in a forestry context; however they may be applicable.</w:t>
            </w:r>
          </w:p>
          <w:p w:rsidR="008C0D37" w:rsidRPr="00BA2608" w:rsidRDefault="008C0D37" w:rsidP="00D76CCD">
            <w:pPr>
              <w:spacing w:before="60" w:after="60"/>
              <w:rPr>
                <w:rFonts w:asciiTheme="minorHAnsi" w:hAnsiTheme="minorHAnsi"/>
                <w:szCs w:val="22"/>
              </w:rPr>
            </w:pPr>
            <w:r w:rsidRPr="00BA2608">
              <w:rPr>
                <w:rFonts w:asciiTheme="minorHAnsi" w:hAnsiTheme="minorHAnsi"/>
                <w:b/>
                <w:szCs w:val="22"/>
              </w:rPr>
              <w:t>Auditor’s Suggested Priority</w:t>
            </w:r>
            <w:r w:rsidRPr="00BA2608">
              <w:rPr>
                <w:rFonts w:asciiTheme="minorHAnsi" w:hAnsiTheme="minorHAnsi"/>
                <w:szCs w:val="22"/>
              </w:rPr>
              <w:t>: High</w:t>
            </w:r>
          </w:p>
        </w:tc>
        <w:tc>
          <w:tcPr>
            <w:tcW w:w="5245" w:type="dxa"/>
          </w:tcPr>
          <w:p w:rsidR="00BA5BB0" w:rsidRPr="00BA2608" w:rsidRDefault="00C403F5" w:rsidP="00BA5BB0">
            <w:pPr>
              <w:spacing w:before="60" w:after="120"/>
              <w:rPr>
                <w:rFonts w:asciiTheme="minorHAnsi" w:hAnsiTheme="minorHAnsi"/>
                <w:szCs w:val="22"/>
              </w:rPr>
            </w:pPr>
            <w:r w:rsidRPr="00BA2608">
              <w:rPr>
                <w:rFonts w:asciiTheme="minorHAnsi" w:hAnsiTheme="minorHAnsi"/>
                <w:szCs w:val="22"/>
              </w:rPr>
              <w:t xml:space="preserve">A </w:t>
            </w:r>
            <w:r w:rsidR="00352795" w:rsidRPr="00BA2608">
              <w:rPr>
                <w:rFonts w:asciiTheme="minorHAnsi" w:hAnsiTheme="minorHAnsi"/>
                <w:szCs w:val="22"/>
              </w:rPr>
              <w:t xml:space="preserve">preliminary </w:t>
            </w:r>
            <w:r w:rsidR="00226B17" w:rsidRPr="00BA2608">
              <w:rPr>
                <w:rFonts w:asciiTheme="minorHAnsi" w:hAnsiTheme="minorHAnsi"/>
                <w:szCs w:val="22"/>
              </w:rPr>
              <w:t xml:space="preserve">review </w:t>
            </w:r>
            <w:r w:rsidR="005D299D" w:rsidRPr="00BA2608">
              <w:rPr>
                <w:rFonts w:asciiTheme="minorHAnsi" w:hAnsiTheme="minorHAnsi"/>
                <w:szCs w:val="22"/>
              </w:rPr>
              <w:t xml:space="preserve">into the </w:t>
            </w:r>
            <w:r w:rsidR="00B5448E" w:rsidRPr="00BA2608">
              <w:rPr>
                <w:rFonts w:asciiTheme="minorHAnsi" w:hAnsiTheme="minorHAnsi"/>
                <w:szCs w:val="22"/>
              </w:rPr>
              <w:t xml:space="preserve">flora and fauna models </w:t>
            </w:r>
            <w:r w:rsidR="00352795" w:rsidRPr="00BA2608">
              <w:rPr>
                <w:rFonts w:asciiTheme="minorHAnsi" w:hAnsiTheme="minorHAnsi"/>
                <w:szCs w:val="22"/>
              </w:rPr>
              <w:t xml:space="preserve">shows some promise to help in developing a checklist to </w:t>
            </w:r>
            <w:r w:rsidR="00BA5BB0" w:rsidRPr="00BA2608">
              <w:rPr>
                <w:rFonts w:asciiTheme="minorHAnsi" w:hAnsiTheme="minorHAnsi"/>
                <w:szCs w:val="22"/>
              </w:rPr>
              <w:t xml:space="preserve">determine the potential presence of </w:t>
            </w:r>
            <w:r w:rsidR="00352795" w:rsidRPr="00BA2608">
              <w:rPr>
                <w:rFonts w:asciiTheme="minorHAnsi" w:hAnsiTheme="minorHAnsi"/>
                <w:szCs w:val="22"/>
              </w:rPr>
              <w:t xml:space="preserve">threatened flora species that may occur in a given area. </w:t>
            </w:r>
          </w:p>
          <w:p w:rsidR="00BA5BB0" w:rsidRPr="00BA2608" w:rsidRDefault="00BA5BB0" w:rsidP="00BA5BB0">
            <w:pPr>
              <w:spacing w:before="60" w:after="120"/>
              <w:rPr>
                <w:rFonts w:asciiTheme="minorHAnsi" w:hAnsiTheme="minorHAnsi"/>
                <w:szCs w:val="22"/>
              </w:rPr>
            </w:pPr>
            <w:r w:rsidRPr="00BA2608">
              <w:rPr>
                <w:rFonts w:asciiTheme="minorHAnsi" w:hAnsiTheme="minorHAnsi"/>
                <w:szCs w:val="22"/>
              </w:rPr>
              <w:t xml:space="preserve">DELWP </w:t>
            </w:r>
            <w:r w:rsidR="00352795" w:rsidRPr="00BA2608">
              <w:rPr>
                <w:rFonts w:asciiTheme="minorHAnsi" w:hAnsiTheme="minorHAnsi"/>
                <w:szCs w:val="22"/>
              </w:rPr>
              <w:t xml:space="preserve">is working with VicForests to test </w:t>
            </w:r>
            <w:r w:rsidR="00C403F5" w:rsidRPr="00BA2608">
              <w:rPr>
                <w:rFonts w:asciiTheme="minorHAnsi" w:hAnsiTheme="minorHAnsi"/>
                <w:szCs w:val="22"/>
              </w:rPr>
              <w:t xml:space="preserve">this application </w:t>
            </w:r>
            <w:r w:rsidRPr="00BA2608">
              <w:rPr>
                <w:rFonts w:asciiTheme="minorHAnsi" w:hAnsiTheme="minorHAnsi"/>
                <w:szCs w:val="22"/>
              </w:rPr>
              <w:t xml:space="preserve">in 2015/16 </w:t>
            </w:r>
            <w:r w:rsidR="00352795" w:rsidRPr="00BA2608">
              <w:rPr>
                <w:rFonts w:asciiTheme="minorHAnsi" w:hAnsiTheme="minorHAnsi"/>
                <w:szCs w:val="22"/>
              </w:rPr>
              <w:t>and determine how the</w:t>
            </w:r>
            <w:r w:rsidR="00C403F5" w:rsidRPr="00BA2608">
              <w:rPr>
                <w:rFonts w:asciiTheme="minorHAnsi" w:hAnsiTheme="minorHAnsi"/>
                <w:szCs w:val="22"/>
              </w:rPr>
              <w:t xml:space="preserve"> </w:t>
            </w:r>
            <w:r w:rsidR="00226B17" w:rsidRPr="00BA2608">
              <w:rPr>
                <w:rFonts w:asciiTheme="minorHAnsi" w:hAnsiTheme="minorHAnsi"/>
                <w:szCs w:val="22"/>
              </w:rPr>
              <w:t xml:space="preserve">current flora and fauna </w:t>
            </w:r>
            <w:r w:rsidR="00C403F5" w:rsidRPr="00BA2608">
              <w:rPr>
                <w:rFonts w:asciiTheme="minorHAnsi" w:hAnsiTheme="minorHAnsi"/>
                <w:szCs w:val="22"/>
              </w:rPr>
              <w:t>models and</w:t>
            </w:r>
            <w:r w:rsidR="00352795" w:rsidRPr="00BA2608">
              <w:rPr>
                <w:rFonts w:asciiTheme="minorHAnsi" w:hAnsiTheme="minorHAnsi"/>
                <w:szCs w:val="22"/>
              </w:rPr>
              <w:t xml:space="preserve"> </w:t>
            </w:r>
            <w:r w:rsidR="00C403F5" w:rsidRPr="00BA2608">
              <w:rPr>
                <w:rFonts w:asciiTheme="minorHAnsi" w:hAnsiTheme="minorHAnsi"/>
                <w:szCs w:val="22"/>
              </w:rPr>
              <w:t xml:space="preserve">species </w:t>
            </w:r>
            <w:r w:rsidR="00352795" w:rsidRPr="00BA2608">
              <w:rPr>
                <w:rFonts w:asciiTheme="minorHAnsi" w:hAnsiTheme="minorHAnsi"/>
                <w:szCs w:val="22"/>
              </w:rPr>
              <w:t>checklist</w:t>
            </w:r>
            <w:r w:rsidR="00C403F5" w:rsidRPr="00BA2608">
              <w:rPr>
                <w:rFonts w:asciiTheme="minorHAnsi" w:hAnsiTheme="minorHAnsi"/>
                <w:szCs w:val="22"/>
              </w:rPr>
              <w:t>s</w:t>
            </w:r>
            <w:r w:rsidR="00352795" w:rsidRPr="00BA2608">
              <w:rPr>
                <w:rFonts w:asciiTheme="minorHAnsi" w:hAnsiTheme="minorHAnsi"/>
                <w:szCs w:val="22"/>
              </w:rPr>
              <w:t xml:space="preserve"> can </w:t>
            </w:r>
            <w:r w:rsidR="00C403F5" w:rsidRPr="00BA2608">
              <w:rPr>
                <w:rFonts w:asciiTheme="minorHAnsi" w:hAnsiTheme="minorHAnsi"/>
                <w:szCs w:val="22"/>
              </w:rPr>
              <w:t xml:space="preserve">best be used </w:t>
            </w:r>
            <w:r w:rsidRPr="00BA2608">
              <w:rPr>
                <w:rFonts w:asciiTheme="minorHAnsi" w:hAnsiTheme="minorHAnsi"/>
                <w:szCs w:val="22"/>
              </w:rPr>
              <w:t xml:space="preserve">in the </w:t>
            </w:r>
            <w:r w:rsidR="00C403F5" w:rsidRPr="00BA2608">
              <w:rPr>
                <w:rFonts w:asciiTheme="minorHAnsi" w:hAnsiTheme="minorHAnsi"/>
                <w:szCs w:val="22"/>
              </w:rPr>
              <w:t xml:space="preserve">planning of </w:t>
            </w:r>
            <w:r w:rsidRPr="00BA2608">
              <w:rPr>
                <w:rFonts w:asciiTheme="minorHAnsi" w:hAnsiTheme="minorHAnsi"/>
                <w:szCs w:val="22"/>
              </w:rPr>
              <w:t xml:space="preserve">timber harvesting </w:t>
            </w:r>
            <w:r w:rsidR="00C403F5" w:rsidRPr="00BA2608">
              <w:rPr>
                <w:rFonts w:asciiTheme="minorHAnsi" w:hAnsiTheme="minorHAnsi"/>
                <w:szCs w:val="22"/>
              </w:rPr>
              <w:t xml:space="preserve">operations. </w:t>
            </w:r>
          </w:p>
          <w:p w:rsidR="00D86654" w:rsidRPr="00BA2608" w:rsidRDefault="00C403F5" w:rsidP="00226B17">
            <w:pPr>
              <w:spacing w:before="60" w:after="120"/>
              <w:rPr>
                <w:rFonts w:asciiTheme="minorHAnsi" w:hAnsiTheme="minorHAnsi"/>
                <w:szCs w:val="22"/>
              </w:rPr>
            </w:pPr>
            <w:r w:rsidRPr="00BA2608">
              <w:rPr>
                <w:rFonts w:asciiTheme="minorHAnsi" w:hAnsiTheme="minorHAnsi"/>
                <w:szCs w:val="22"/>
              </w:rPr>
              <w:t xml:space="preserve">Further details </w:t>
            </w:r>
            <w:r w:rsidR="00226B17" w:rsidRPr="00BA2608">
              <w:rPr>
                <w:rFonts w:asciiTheme="minorHAnsi" w:hAnsiTheme="minorHAnsi"/>
                <w:szCs w:val="22"/>
              </w:rPr>
              <w:t xml:space="preserve">about the results of </w:t>
            </w:r>
            <w:r w:rsidRPr="00BA2608">
              <w:rPr>
                <w:rFonts w:asciiTheme="minorHAnsi" w:hAnsiTheme="minorHAnsi"/>
                <w:szCs w:val="22"/>
              </w:rPr>
              <w:t xml:space="preserve">this </w:t>
            </w:r>
            <w:r w:rsidR="00226B17" w:rsidRPr="00BA2608">
              <w:rPr>
                <w:rFonts w:asciiTheme="minorHAnsi" w:hAnsiTheme="minorHAnsi"/>
                <w:szCs w:val="22"/>
              </w:rPr>
              <w:t xml:space="preserve">DELWP </w:t>
            </w:r>
            <w:r w:rsidRPr="00BA2608">
              <w:rPr>
                <w:rFonts w:asciiTheme="minorHAnsi" w:hAnsiTheme="minorHAnsi"/>
                <w:szCs w:val="22"/>
              </w:rPr>
              <w:t xml:space="preserve">review will be announced when </w:t>
            </w:r>
            <w:r w:rsidR="00226B17" w:rsidRPr="00BA2608">
              <w:rPr>
                <w:rFonts w:asciiTheme="minorHAnsi" w:hAnsiTheme="minorHAnsi"/>
                <w:szCs w:val="22"/>
              </w:rPr>
              <w:t xml:space="preserve">they become </w:t>
            </w:r>
            <w:r w:rsidRPr="00BA2608">
              <w:rPr>
                <w:rFonts w:asciiTheme="minorHAnsi" w:hAnsiTheme="minorHAnsi"/>
                <w:szCs w:val="22"/>
              </w:rPr>
              <w:t xml:space="preserve">available. </w:t>
            </w:r>
            <w:r w:rsidR="00352795" w:rsidRPr="00BA2608">
              <w:rPr>
                <w:rFonts w:asciiTheme="minorHAnsi" w:hAnsiTheme="minorHAnsi"/>
                <w:szCs w:val="22"/>
              </w:rPr>
              <w:t xml:space="preserve"> </w:t>
            </w:r>
          </w:p>
        </w:tc>
      </w:tr>
      <w:tr w:rsidR="008C0D37" w:rsidRPr="00BA2608" w:rsidTr="00E32E6D">
        <w:tc>
          <w:tcPr>
            <w:tcW w:w="5246" w:type="dxa"/>
          </w:tcPr>
          <w:p w:rsidR="008C0D37" w:rsidRPr="00BA2608" w:rsidRDefault="008C0D37" w:rsidP="00D76CCD">
            <w:pPr>
              <w:spacing w:before="60" w:after="60"/>
              <w:rPr>
                <w:rFonts w:asciiTheme="minorHAnsi" w:hAnsiTheme="minorHAnsi"/>
                <w:szCs w:val="22"/>
              </w:rPr>
            </w:pPr>
            <w:r w:rsidRPr="00BA2608">
              <w:rPr>
                <w:rFonts w:asciiTheme="minorHAnsi" w:hAnsiTheme="minorHAnsi"/>
                <w:b/>
                <w:szCs w:val="22"/>
              </w:rPr>
              <w:t>Recommendation REG5</w:t>
            </w:r>
            <w:r w:rsidRPr="00BA2608">
              <w:rPr>
                <w:rFonts w:asciiTheme="minorHAnsi" w:hAnsiTheme="minorHAnsi"/>
                <w:szCs w:val="22"/>
              </w:rPr>
              <w:t xml:space="preserve"> – It is recommended that the Central Highlands FMP be updated to:</w:t>
            </w:r>
          </w:p>
          <w:p w:rsidR="008C0D37" w:rsidRPr="00BA2608" w:rsidRDefault="008C0D37" w:rsidP="00D76CCD">
            <w:pPr>
              <w:spacing w:before="60" w:after="60"/>
              <w:rPr>
                <w:rFonts w:asciiTheme="minorHAnsi" w:hAnsiTheme="minorHAnsi"/>
                <w:szCs w:val="22"/>
              </w:rPr>
            </w:pPr>
            <w:r w:rsidRPr="00BA2608">
              <w:rPr>
                <w:rFonts w:asciiTheme="minorHAnsi" w:hAnsiTheme="minorHAnsi"/>
                <w:szCs w:val="22"/>
              </w:rPr>
              <w:t>• Ensure that Appendix J and K include all current FFG listed taxa and threatened taxa on the DEPI Advisory List, including but not limited to, VBA entries since 1995;</w:t>
            </w:r>
          </w:p>
          <w:p w:rsidR="008C0D37" w:rsidRPr="00BA2608" w:rsidRDefault="008C0D37" w:rsidP="00D76CCD">
            <w:pPr>
              <w:spacing w:before="60" w:after="60"/>
              <w:rPr>
                <w:rFonts w:asciiTheme="minorHAnsi" w:hAnsiTheme="minorHAnsi"/>
                <w:szCs w:val="22"/>
              </w:rPr>
            </w:pPr>
            <w:r w:rsidRPr="00BA2608">
              <w:rPr>
                <w:rFonts w:asciiTheme="minorHAnsi" w:hAnsiTheme="minorHAnsi"/>
                <w:szCs w:val="22"/>
              </w:rPr>
              <w:t>• Update the conservation status of all taxa in Appendix J and K to reflect the DEPI Advisory list and/or the EPBC Advisory list; and</w:t>
            </w:r>
          </w:p>
          <w:p w:rsidR="008C0D37" w:rsidRPr="00BA2608" w:rsidRDefault="008C0D37" w:rsidP="00D76CCD">
            <w:pPr>
              <w:spacing w:before="60" w:after="60"/>
              <w:rPr>
                <w:rFonts w:asciiTheme="minorHAnsi" w:hAnsiTheme="minorHAnsi"/>
                <w:szCs w:val="22"/>
              </w:rPr>
            </w:pPr>
            <w:r w:rsidRPr="00BA2608">
              <w:rPr>
                <w:rFonts w:asciiTheme="minorHAnsi" w:hAnsiTheme="minorHAnsi"/>
                <w:szCs w:val="22"/>
              </w:rPr>
              <w:t>• Update the management prescriptions to align conservation efforts with current conservation significance status.</w:t>
            </w:r>
          </w:p>
          <w:p w:rsidR="008C0D37" w:rsidRPr="00BA2608" w:rsidRDefault="008C0D37" w:rsidP="00D76CCD">
            <w:pPr>
              <w:spacing w:before="60" w:after="60"/>
              <w:rPr>
                <w:rFonts w:asciiTheme="minorHAnsi" w:hAnsiTheme="minorHAnsi"/>
                <w:szCs w:val="22"/>
              </w:rPr>
            </w:pPr>
            <w:r w:rsidRPr="00BA2608">
              <w:rPr>
                <w:rFonts w:asciiTheme="minorHAnsi" w:hAnsiTheme="minorHAnsi"/>
                <w:b/>
                <w:szCs w:val="22"/>
              </w:rPr>
              <w:t>Auditor’s Rationale</w:t>
            </w:r>
            <w:r w:rsidRPr="00BA2608">
              <w:rPr>
                <w:rFonts w:asciiTheme="minorHAnsi" w:hAnsiTheme="minorHAnsi"/>
                <w:szCs w:val="22"/>
              </w:rPr>
              <w:t xml:space="preserve">:  The auditor notes that Appendix J of the Central Highlands FMP was compiled in 1998.  The Flora Information System (FIS) database (1995) is cited as the source for records.  The FIS has been </w:t>
            </w:r>
            <w:r w:rsidRPr="00BA2608">
              <w:rPr>
                <w:rFonts w:asciiTheme="minorHAnsi" w:hAnsiTheme="minorHAnsi"/>
                <w:szCs w:val="22"/>
              </w:rPr>
              <w:lastRenderedPageBreak/>
              <w:t xml:space="preserve">superseded by the Victorian Biodiversity Atlas.  The conservation status of some of the flora listed has since been revised, for example, Crimson Spider Orchid (Caladenia concolor) is listed in Appendix J as vulnerable at a State level.  The conservation status of this species has been elevated to Endangered at a State level, it is now also listed as Vulnerable at a Federal level.  There are other, similar examples, including (but not limited to) Tree Geebung (Persoonia arborea) elevated to Vulnerable at a State level, and Slender Tree-fern (Cyathea cunninghamii) also elevated to Vulnerable conservation status at a State level.  The conservation status, and the data source, of flora identified in Appendix J are now out-dated. </w:t>
            </w:r>
          </w:p>
          <w:p w:rsidR="008C0D37" w:rsidRPr="00BA2608" w:rsidRDefault="008C0D37" w:rsidP="00D76CCD">
            <w:pPr>
              <w:spacing w:before="60" w:after="60"/>
              <w:rPr>
                <w:rFonts w:asciiTheme="minorHAnsi" w:hAnsiTheme="minorHAnsi"/>
                <w:szCs w:val="22"/>
              </w:rPr>
            </w:pPr>
            <w:r w:rsidRPr="00BA2608">
              <w:rPr>
                <w:rFonts w:asciiTheme="minorHAnsi" w:hAnsiTheme="minorHAnsi"/>
                <w:szCs w:val="22"/>
              </w:rPr>
              <w:t xml:space="preserve">Similarly, the auditor identified outdated data in Appendix K of the Central Highlands FMP.  Discrepancies include that the conservation status of Smoky Mouse (Pseudomys fumeus) has changed to being Endangered at a Federal level, FFG-listed, and Near Threatened at State level; but shown in Appendix K as Vulnerable.  </w:t>
            </w:r>
          </w:p>
          <w:p w:rsidR="008C0D37" w:rsidRPr="00BA2608" w:rsidRDefault="008C0D37" w:rsidP="00D76CCD">
            <w:pPr>
              <w:spacing w:before="60" w:after="60"/>
              <w:rPr>
                <w:rFonts w:asciiTheme="minorHAnsi" w:hAnsiTheme="minorHAnsi"/>
                <w:szCs w:val="22"/>
              </w:rPr>
            </w:pPr>
            <w:r w:rsidRPr="00BA2608">
              <w:rPr>
                <w:rFonts w:asciiTheme="minorHAnsi" w:hAnsiTheme="minorHAnsi"/>
                <w:szCs w:val="22"/>
              </w:rPr>
              <w:t>Furthermore, the Code requires that “Forest management planning and all forestry operations must comply with measures specified in relevant Flora and Fauna Guarantee Action Statements and Flora and Fauna Guarantee Orders.”  The auditor notes that Action Statements or Guarantee Orders have not yet been developed for many threatened species.  In the absence of Action Statements, the management prescriptions in the FMP need to be reviewed and amended to ensure they are adequate and current - to reflect the current conservation significance status of each species.</w:t>
            </w:r>
          </w:p>
          <w:p w:rsidR="008C0D37" w:rsidRPr="00BA2608" w:rsidRDefault="008C0D37" w:rsidP="00D76CCD">
            <w:pPr>
              <w:spacing w:before="60" w:after="60"/>
              <w:rPr>
                <w:rFonts w:asciiTheme="minorHAnsi" w:hAnsiTheme="minorHAnsi"/>
                <w:szCs w:val="22"/>
              </w:rPr>
            </w:pPr>
            <w:r w:rsidRPr="00BA2608">
              <w:rPr>
                <w:rFonts w:asciiTheme="minorHAnsi" w:hAnsiTheme="minorHAnsi"/>
                <w:szCs w:val="22"/>
              </w:rPr>
              <w:t>The auditor notes that VicForests and DEPI Forestry Services may need to reassess the suitability of their on-ground species detection methodologies to ensure they are appropriate for detection of all target species. Changes required may include additional training; more targeted field methodologies; searching by specialists; and seasonal searches.</w:t>
            </w:r>
          </w:p>
          <w:p w:rsidR="008C0D37" w:rsidRPr="00BA2608" w:rsidRDefault="008C0D37" w:rsidP="00D76CCD">
            <w:pPr>
              <w:spacing w:before="60" w:after="60"/>
              <w:rPr>
                <w:rFonts w:asciiTheme="minorHAnsi" w:hAnsiTheme="minorHAnsi"/>
                <w:szCs w:val="22"/>
              </w:rPr>
            </w:pPr>
            <w:r w:rsidRPr="00BA2608">
              <w:rPr>
                <w:rFonts w:asciiTheme="minorHAnsi" w:hAnsiTheme="minorHAnsi"/>
                <w:b/>
                <w:szCs w:val="22"/>
              </w:rPr>
              <w:t>Auditor’s Suggested Priority</w:t>
            </w:r>
            <w:r w:rsidRPr="00BA2608">
              <w:rPr>
                <w:rFonts w:asciiTheme="minorHAnsi" w:hAnsiTheme="minorHAnsi"/>
                <w:szCs w:val="22"/>
              </w:rPr>
              <w:t>: High</w:t>
            </w:r>
          </w:p>
        </w:tc>
        <w:tc>
          <w:tcPr>
            <w:tcW w:w="5245" w:type="dxa"/>
          </w:tcPr>
          <w:p w:rsidR="00E10E20" w:rsidRPr="00BA2608" w:rsidRDefault="00E10E20" w:rsidP="00E10E20">
            <w:pPr>
              <w:spacing w:before="60" w:after="120"/>
              <w:rPr>
                <w:rFonts w:asciiTheme="minorHAnsi" w:hAnsiTheme="minorHAnsi"/>
                <w:szCs w:val="22"/>
              </w:rPr>
            </w:pPr>
            <w:r w:rsidRPr="00BA2608">
              <w:rPr>
                <w:rFonts w:asciiTheme="minorHAnsi" w:hAnsiTheme="minorHAnsi"/>
                <w:szCs w:val="22"/>
              </w:rPr>
              <w:lastRenderedPageBreak/>
              <w:t>This recommendation has been partially addressed in</w:t>
            </w:r>
            <w:r w:rsidRPr="00BA2608">
              <w:t xml:space="preserve"> </w:t>
            </w:r>
            <w:r w:rsidRPr="00BA2608">
              <w:rPr>
                <w:rFonts w:asciiTheme="minorHAnsi" w:hAnsiTheme="minorHAnsi"/>
                <w:szCs w:val="22"/>
              </w:rPr>
              <w:t>the 2014 Code.</w:t>
            </w:r>
          </w:p>
          <w:p w:rsidR="00E10E20" w:rsidRPr="00BA2608" w:rsidRDefault="00C403F5" w:rsidP="00E10E20">
            <w:pPr>
              <w:spacing w:before="60" w:after="120"/>
              <w:rPr>
                <w:rFonts w:asciiTheme="minorHAnsi" w:hAnsiTheme="minorHAnsi"/>
                <w:szCs w:val="22"/>
              </w:rPr>
            </w:pPr>
            <w:r w:rsidRPr="00BA2608">
              <w:rPr>
                <w:rFonts w:asciiTheme="minorHAnsi" w:hAnsiTheme="minorHAnsi"/>
                <w:szCs w:val="22"/>
              </w:rPr>
              <w:t xml:space="preserve">The </w:t>
            </w:r>
            <w:r w:rsidR="00226B17" w:rsidRPr="00BA2608">
              <w:rPr>
                <w:rFonts w:asciiTheme="minorHAnsi" w:hAnsiTheme="minorHAnsi"/>
                <w:szCs w:val="22"/>
              </w:rPr>
              <w:t xml:space="preserve">DELWP </w:t>
            </w:r>
            <w:r w:rsidRPr="00BA2608">
              <w:rPr>
                <w:rFonts w:asciiTheme="minorHAnsi" w:hAnsiTheme="minorHAnsi"/>
                <w:szCs w:val="22"/>
              </w:rPr>
              <w:t xml:space="preserve">review </w:t>
            </w:r>
            <w:r w:rsidR="00BA5BB0" w:rsidRPr="00BA2608">
              <w:rPr>
                <w:rFonts w:asciiTheme="minorHAnsi" w:hAnsiTheme="minorHAnsi"/>
                <w:szCs w:val="22"/>
              </w:rPr>
              <w:t xml:space="preserve">project </w:t>
            </w:r>
            <w:r w:rsidRPr="00BA2608">
              <w:rPr>
                <w:rFonts w:asciiTheme="minorHAnsi" w:hAnsiTheme="minorHAnsi"/>
                <w:szCs w:val="22"/>
              </w:rPr>
              <w:t xml:space="preserve">referred to </w:t>
            </w:r>
            <w:r w:rsidR="00BA5BB0" w:rsidRPr="00BA2608">
              <w:rPr>
                <w:rFonts w:asciiTheme="minorHAnsi" w:hAnsiTheme="minorHAnsi"/>
                <w:szCs w:val="22"/>
              </w:rPr>
              <w:t xml:space="preserve">in </w:t>
            </w:r>
            <w:r w:rsidRPr="00BA2608">
              <w:rPr>
                <w:rFonts w:asciiTheme="minorHAnsi" w:hAnsiTheme="minorHAnsi"/>
                <w:szCs w:val="22"/>
              </w:rPr>
              <w:t xml:space="preserve">Recommendation REG4 (above) will include </w:t>
            </w:r>
            <w:r w:rsidR="00B5448E" w:rsidRPr="00BA2608">
              <w:rPr>
                <w:rFonts w:asciiTheme="minorHAnsi" w:hAnsiTheme="minorHAnsi"/>
                <w:szCs w:val="22"/>
              </w:rPr>
              <w:t xml:space="preserve">a </w:t>
            </w:r>
            <w:r w:rsidRPr="00BA2608">
              <w:rPr>
                <w:rFonts w:asciiTheme="minorHAnsi" w:hAnsiTheme="minorHAnsi"/>
                <w:szCs w:val="22"/>
              </w:rPr>
              <w:t xml:space="preserve">stocktake </w:t>
            </w:r>
            <w:r w:rsidR="00E10E20" w:rsidRPr="00BA2608">
              <w:rPr>
                <w:rFonts w:asciiTheme="minorHAnsi" w:hAnsiTheme="minorHAnsi"/>
                <w:szCs w:val="22"/>
              </w:rPr>
              <w:t xml:space="preserve">in 2015/16 </w:t>
            </w:r>
            <w:r w:rsidRPr="00BA2608">
              <w:rPr>
                <w:rFonts w:asciiTheme="minorHAnsi" w:hAnsiTheme="minorHAnsi"/>
                <w:szCs w:val="22"/>
              </w:rPr>
              <w:t xml:space="preserve">to identify </w:t>
            </w:r>
            <w:r w:rsidR="00BA5BB0" w:rsidRPr="00BA2608">
              <w:rPr>
                <w:rFonts w:asciiTheme="minorHAnsi" w:hAnsiTheme="minorHAnsi"/>
                <w:szCs w:val="22"/>
              </w:rPr>
              <w:t xml:space="preserve">any </w:t>
            </w:r>
            <w:r w:rsidRPr="00BA2608">
              <w:rPr>
                <w:rFonts w:asciiTheme="minorHAnsi" w:hAnsiTheme="minorHAnsi"/>
                <w:szCs w:val="22"/>
              </w:rPr>
              <w:t xml:space="preserve">listed species </w:t>
            </w:r>
            <w:r w:rsidR="00BA5BB0" w:rsidRPr="00BA2608">
              <w:rPr>
                <w:rFonts w:asciiTheme="minorHAnsi" w:hAnsiTheme="minorHAnsi"/>
                <w:szCs w:val="22"/>
              </w:rPr>
              <w:t xml:space="preserve">that are not currently referred to in the Code </w:t>
            </w:r>
            <w:r w:rsidRPr="00BA2608">
              <w:rPr>
                <w:rFonts w:asciiTheme="minorHAnsi" w:hAnsiTheme="minorHAnsi"/>
                <w:szCs w:val="22"/>
              </w:rPr>
              <w:t xml:space="preserve">and </w:t>
            </w:r>
            <w:r w:rsidR="00BA5BB0" w:rsidRPr="00BA2608">
              <w:rPr>
                <w:rFonts w:asciiTheme="minorHAnsi" w:hAnsiTheme="minorHAnsi"/>
                <w:szCs w:val="22"/>
              </w:rPr>
              <w:t xml:space="preserve">determine if they require consideration in the </w:t>
            </w:r>
            <w:r w:rsidRPr="00BA2608">
              <w:rPr>
                <w:rFonts w:asciiTheme="minorHAnsi" w:hAnsiTheme="minorHAnsi"/>
                <w:szCs w:val="22"/>
              </w:rPr>
              <w:t xml:space="preserve">next </w:t>
            </w:r>
            <w:r w:rsidR="00BA5BB0" w:rsidRPr="00BA2608">
              <w:rPr>
                <w:rFonts w:asciiTheme="minorHAnsi" w:hAnsiTheme="minorHAnsi"/>
                <w:szCs w:val="22"/>
              </w:rPr>
              <w:t xml:space="preserve">update to </w:t>
            </w:r>
            <w:r w:rsidRPr="00BA2608">
              <w:rPr>
                <w:rFonts w:asciiTheme="minorHAnsi" w:hAnsiTheme="minorHAnsi"/>
                <w:szCs w:val="22"/>
              </w:rPr>
              <w:t>the Code.</w:t>
            </w:r>
          </w:p>
          <w:p w:rsidR="00E10E20" w:rsidRPr="00BA2608" w:rsidRDefault="00BA5BB0" w:rsidP="00E10E20">
            <w:pPr>
              <w:spacing w:before="60" w:after="120"/>
              <w:rPr>
                <w:rFonts w:asciiTheme="minorHAnsi" w:hAnsiTheme="minorHAnsi"/>
                <w:szCs w:val="22"/>
              </w:rPr>
            </w:pPr>
            <w:r w:rsidRPr="00BA2608">
              <w:rPr>
                <w:rFonts w:asciiTheme="minorHAnsi" w:hAnsiTheme="minorHAnsi"/>
                <w:szCs w:val="22"/>
              </w:rPr>
              <w:t xml:space="preserve">DELWP </w:t>
            </w:r>
            <w:r w:rsidR="007A02A6">
              <w:rPr>
                <w:rFonts w:asciiTheme="minorHAnsi" w:hAnsiTheme="minorHAnsi"/>
                <w:szCs w:val="22"/>
              </w:rPr>
              <w:t xml:space="preserve">is </w:t>
            </w:r>
            <w:r w:rsidR="00E10E20" w:rsidRPr="00BA2608">
              <w:rPr>
                <w:rFonts w:asciiTheme="minorHAnsi" w:hAnsiTheme="minorHAnsi"/>
                <w:szCs w:val="22"/>
              </w:rPr>
              <w:t xml:space="preserve">also </w:t>
            </w:r>
            <w:r w:rsidR="007A02A6">
              <w:rPr>
                <w:rFonts w:asciiTheme="minorHAnsi" w:hAnsiTheme="minorHAnsi"/>
                <w:szCs w:val="22"/>
              </w:rPr>
              <w:t xml:space="preserve">currently undertaking other priority </w:t>
            </w:r>
            <w:r w:rsidR="00E10E20" w:rsidRPr="00BA2608">
              <w:rPr>
                <w:rFonts w:asciiTheme="minorHAnsi" w:hAnsiTheme="minorHAnsi"/>
                <w:szCs w:val="22"/>
              </w:rPr>
              <w:t>project</w:t>
            </w:r>
            <w:r w:rsidR="007A02A6">
              <w:rPr>
                <w:rFonts w:asciiTheme="minorHAnsi" w:hAnsiTheme="minorHAnsi"/>
                <w:szCs w:val="22"/>
              </w:rPr>
              <w:t xml:space="preserve">s such as the </w:t>
            </w:r>
            <w:r w:rsidR="00E10E20" w:rsidRPr="00BA2608">
              <w:rPr>
                <w:rFonts w:asciiTheme="minorHAnsi" w:hAnsiTheme="minorHAnsi"/>
                <w:szCs w:val="22"/>
              </w:rPr>
              <w:t xml:space="preserve">development of a biodiversity strategy and review of the </w:t>
            </w:r>
            <w:r w:rsidR="00E10E20" w:rsidRPr="00BA2608">
              <w:rPr>
                <w:rFonts w:asciiTheme="minorHAnsi" w:hAnsiTheme="minorHAnsi"/>
                <w:i/>
                <w:szCs w:val="22"/>
              </w:rPr>
              <w:t>Flora and Fauna Guarantee Act</w:t>
            </w:r>
            <w:r w:rsidR="007A02A6">
              <w:rPr>
                <w:rFonts w:asciiTheme="minorHAnsi" w:hAnsiTheme="minorHAnsi"/>
                <w:i/>
                <w:szCs w:val="22"/>
              </w:rPr>
              <w:t xml:space="preserve">. </w:t>
            </w:r>
            <w:r w:rsidR="007A02A6" w:rsidRPr="007A02A6">
              <w:rPr>
                <w:rFonts w:asciiTheme="minorHAnsi" w:hAnsiTheme="minorHAnsi"/>
                <w:szCs w:val="22"/>
              </w:rPr>
              <w:t>These</w:t>
            </w:r>
            <w:r w:rsidR="007A02A6">
              <w:rPr>
                <w:rFonts w:asciiTheme="minorHAnsi" w:hAnsiTheme="minorHAnsi"/>
                <w:i/>
                <w:szCs w:val="22"/>
              </w:rPr>
              <w:t xml:space="preserve"> </w:t>
            </w:r>
            <w:r w:rsidR="00E10E20" w:rsidRPr="00BA2608">
              <w:rPr>
                <w:rFonts w:asciiTheme="minorHAnsi" w:hAnsiTheme="minorHAnsi"/>
                <w:szCs w:val="22"/>
              </w:rPr>
              <w:t xml:space="preserve">may influence </w:t>
            </w:r>
            <w:r w:rsidR="007A02A6">
              <w:rPr>
                <w:rFonts w:asciiTheme="minorHAnsi" w:hAnsiTheme="minorHAnsi"/>
                <w:szCs w:val="22"/>
              </w:rPr>
              <w:t xml:space="preserve">any review </w:t>
            </w:r>
            <w:r w:rsidR="00E10E20" w:rsidRPr="00BA2608">
              <w:rPr>
                <w:rFonts w:asciiTheme="minorHAnsi" w:hAnsiTheme="minorHAnsi"/>
                <w:szCs w:val="22"/>
              </w:rPr>
              <w:t xml:space="preserve">process. </w:t>
            </w:r>
          </w:p>
          <w:p w:rsidR="008C0D37" w:rsidRPr="00BA2608" w:rsidRDefault="00E10E20" w:rsidP="007A02A6">
            <w:pPr>
              <w:spacing w:before="60" w:after="120"/>
              <w:rPr>
                <w:rFonts w:asciiTheme="minorHAnsi" w:hAnsiTheme="minorHAnsi"/>
                <w:szCs w:val="22"/>
              </w:rPr>
            </w:pPr>
            <w:r w:rsidRPr="00BA2608">
              <w:rPr>
                <w:rFonts w:asciiTheme="minorHAnsi" w:hAnsiTheme="minorHAnsi"/>
                <w:szCs w:val="22"/>
              </w:rPr>
              <w:t xml:space="preserve">DELWP </w:t>
            </w:r>
            <w:r w:rsidR="00BA5BB0" w:rsidRPr="00BA2608">
              <w:rPr>
                <w:rFonts w:asciiTheme="minorHAnsi" w:hAnsiTheme="minorHAnsi"/>
                <w:szCs w:val="22"/>
              </w:rPr>
              <w:t>will work with VicForests</w:t>
            </w:r>
            <w:r w:rsidRPr="00BA2608">
              <w:rPr>
                <w:rFonts w:asciiTheme="minorHAnsi" w:hAnsiTheme="minorHAnsi"/>
                <w:szCs w:val="22"/>
              </w:rPr>
              <w:t xml:space="preserve"> and other relevant stakeholders in developing </w:t>
            </w:r>
            <w:r w:rsidR="007A02A6">
              <w:rPr>
                <w:rFonts w:asciiTheme="minorHAnsi" w:hAnsiTheme="minorHAnsi"/>
                <w:szCs w:val="22"/>
              </w:rPr>
              <w:t xml:space="preserve">any </w:t>
            </w:r>
            <w:r w:rsidRPr="00BA2608">
              <w:rPr>
                <w:rFonts w:asciiTheme="minorHAnsi" w:hAnsiTheme="minorHAnsi"/>
                <w:szCs w:val="22"/>
              </w:rPr>
              <w:t xml:space="preserve">new prescriptions.  </w:t>
            </w:r>
          </w:p>
        </w:tc>
      </w:tr>
      <w:tr w:rsidR="008C0D37" w:rsidRPr="00BA2608" w:rsidTr="00BA2608">
        <w:trPr>
          <w:cantSplit/>
        </w:trPr>
        <w:tc>
          <w:tcPr>
            <w:tcW w:w="5246" w:type="dxa"/>
          </w:tcPr>
          <w:p w:rsidR="008C0D37" w:rsidRPr="00BA2608" w:rsidRDefault="008C0D37" w:rsidP="00D76CCD">
            <w:pPr>
              <w:spacing w:before="60" w:after="60"/>
              <w:rPr>
                <w:rFonts w:asciiTheme="minorHAnsi" w:hAnsiTheme="minorHAnsi"/>
                <w:szCs w:val="22"/>
              </w:rPr>
            </w:pPr>
            <w:r w:rsidRPr="00BA2608">
              <w:rPr>
                <w:rFonts w:asciiTheme="minorHAnsi" w:hAnsiTheme="minorHAnsi"/>
                <w:b/>
                <w:szCs w:val="22"/>
              </w:rPr>
              <w:lastRenderedPageBreak/>
              <w:t>Recommendation REG6</w:t>
            </w:r>
            <w:r w:rsidRPr="00BA2608">
              <w:rPr>
                <w:rFonts w:asciiTheme="minorHAnsi" w:hAnsiTheme="minorHAnsi"/>
                <w:szCs w:val="22"/>
              </w:rPr>
              <w:t xml:space="preserve"> - It is recommended that the Code or Management Procedures be amended to include a requirement to assess the risk of spread of pathogens.</w:t>
            </w:r>
          </w:p>
          <w:p w:rsidR="008C0D37" w:rsidRPr="00BA2608" w:rsidRDefault="008C0D37" w:rsidP="00D76CCD">
            <w:pPr>
              <w:spacing w:before="60" w:after="60"/>
              <w:rPr>
                <w:rFonts w:asciiTheme="minorHAnsi" w:hAnsiTheme="minorHAnsi"/>
                <w:szCs w:val="22"/>
              </w:rPr>
            </w:pPr>
            <w:r w:rsidRPr="00BA2608">
              <w:rPr>
                <w:rFonts w:asciiTheme="minorHAnsi" w:hAnsiTheme="minorHAnsi"/>
                <w:b/>
                <w:szCs w:val="22"/>
              </w:rPr>
              <w:t>Auditor’s Rationale</w:t>
            </w:r>
            <w:r w:rsidRPr="00BA2608">
              <w:rPr>
                <w:rFonts w:asciiTheme="minorHAnsi" w:hAnsiTheme="minorHAnsi"/>
                <w:szCs w:val="22"/>
              </w:rPr>
              <w:t>: Although the Management Procedures contain prescriptions for management of spread of pathogens from areas of known risk, there is no requirement to undertake a risk assessment to determine risk.</w:t>
            </w:r>
          </w:p>
          <w:p w:rsidR="008C0D37" w:rsidRPr="00BA2608" w:rsidRDefault="008C0D37" w:rsidP="00D76CCD">
            <w:pPr>
              <w:spacing w:before="60" w:after="60"/>
              <w:rPr>
                <w:rFonts w:asciiTheme="minorHAnsi" w:hAnsiTheme="minorHAnsi"/>
                <w:szCs w:val="22"/>
              </w:rPr>
            </w:pPr>
            <w:r w:rsidRPr="00BA2608">
              <w:rPr>
                <w:rFonts w:asciiTheme="minorHAnsi" w:hAnsiTheme="minorHAnsi"/>
                <w:b/>
                <w:szCs w:val="22"/>
              </w:rPr>
              <w:t>Auditor’s Suggested Priority</w:t>
            </w:r>
            <w:r w:rsidRPr="00BA2608">
              <w:rPr>
                <w:rFonts w:asciiTheme="minorHAnsi" w:hAnsiTheme="minorHAnsi"/>
                <w:szCs w:val="22"/>
              </w:rPr>
              <w:t xml:space="preserve">: High </w:t>
            </w:r>
          </w:p>
        </w:tc>
        <w:tc>
          <w:tcPr>
            <w:tcW w:w="5245" w:type="dxa"/>
          </w:tcPr>
          <w:p w:rsidR="008C0D37" w:rsidRPr="00BA2608" w:rsidRDefault="001C2D21" w:rsidP="00C403F5">
            <w:pPr>
              <w:spacing w:before="60" w:after="60"/>
              <w:contextualSpacing/>
              <w:rPr>
                <w:rFonts w:asciiTheme="minorHAnsi" w:hAnsiTheme="minorHAnsi"/>
                <w:szCs w:val="22"/>
              </w:rPr>
            </w:pPr>
            <w:r w:rsidRPr="00BA2608">
              <w:rPr>
                <w:rFonts w:asciiTheme="minorHAnsi" w:hAnsiTheme="minorHAnsi"/>
                <w:szCs w:val="22"/>
              </w:rPr>
              <w:t xml:space="preserve">This will be reviewed in 2015/16 in consultation with relevant </w:t>
            </w:r>
            <w:r w:rsidR="00C403F5" w:rsidRPr="00BA2608">
              <w:rPr>
                <w:rFonts w:asciiTheme="minorHAnsi" w:hAnsiTheme="minorHAnsi"/>
                <w:szCs w:val="22"/>
              </w:rPr>
              <w:t>forest/ plant pathologists.</w:t>
            </w:r>
            <w:r w:rsidRPr="00BA2608">
              <w:rPr>
                <w:rFonts w:asciiTheme="minorHAnsi" w:hAnsiTheme="minorHAnsi"/>
                <w:szCs w:val="22"/>
              </w:rPr>
              <w:t xml:space="preserve"> Any required changes will be capt</w:t>
            </w:r>
            <w:r w:rsidR="00B5448E" w:rsidRPr="00BA2608">
              <w:rPr>
                <w:rFonts w:asciiTheme="minorHAnsi" w:hAnsiTheme="minorHAnsi"/>
                <w:szCs w:val="22"/>
              </w:rPr>
              <w:t>ured in the next update of the C</w:t>
            </w:r>
            <w:r w:rsidRPr="00BA2608">
              <w:rPr>
                <w:rFonts w:asciiTheme="minorHAnsi" w:hAnsiTheme="minorHAnsi"/>
                <w:szCs w:val="22"/>
              </w:rPr>
              <w:t>ode</w:t>
            </w:r>
            <w:r w:rsidR="009C60C3" w:rsidRPr="00BA2608">
              <w:rPr>
                <w:rFonts w:asciiTheme="minorHAnsi" w:hAnsiTheme="minorHAnsi"/>
                <w:szCs w:val="22"/>
              </w:rPr>
              <w:t xml:space="preserve">. </w:t>
            </w:r>
          </w:p>
        </w:tc>
      </w:tr>
      <w:tr w:rsidR="008C0D37" w:rsidRPr="00BA2608" w:rsidTr="00E32E6D">
        <w:tc>
          <w:tcPr>
            <w:tcW w:w="5246" w:type="dxa"/>
          </w:tcPr>
          <w:p w:rsidR="008C0D37" w:rsidRPr="00BA2608" w:rsidRDefault="008C0D37" w:rsidP="00D76CCD">
            <w:pPr>
              <w:spacing w:before="60" w:after="60"/>
              <w:rPr>
                <w:rFonts w:asciiTheme="minorHAnsi" w:hAnsiTheme="minorHAnsi"/>
                <w:szCs w:val="22"/>
              </w:rPr>
            </w:pPr>
            <w:r w:rsidRPr="00BA2608">
              <w:rPr>
                <w:rFonts w:asciiTheme="minorHAnsi" w:hAnsiTheme="minorHAnsi"/>
                <w:b/>
                <w:szCs w:val="22"/>
              </w:rPr>
              <w:t>Recommendation REG7</w:t>
            </w:r>
            <w:r w:rsidRPr="00BA2608">
              <w:rPr>
                <w:rFonts w:asciiTheme="minorHAnsi" w:hAnsiTheme="minorHAnsi"/>
                <w:szCs w:val="22"/>
              </w:rPr>
              <w:t xml:space="preserve"> - It is recommended that management prescriptions for the protection of threatened flora within riparian zones be reviewed to better manage potential impacts associated with construction of waterway crossings.</w:t>
            </w:r>
          </w:p>
          <w:p w:rsidR="008C0D37" w:rsidRPr="00BA2608" w:rsidRDefault="008C0D37" w:rsidP="00D76CCD">
            <w:pPr>
              <w:spacing w:before="60" w:after="60"/>
              <w:rPr>
                <w:rFonts w:asciiTheme="minorHAnsi" w:hAnsiTheme="minorHAnsi"/>
                <w:szCs w:val="22"/>
              </w:rPr>
            </w:pPr>
            <w:r w:rsidRPr="00BA2608">
              <w:rPr>
                <w:rFonts w:asciiTheme="minorHAnsi" w:hAnsiTheme="minorHAnsi"/>
                <w:b/>
                <w:szCs w:val="22"/>
              </w:rPr>
              <w:t>Auditor’s Rationale</w:t>
            </w:r>
            <w:r w:rsidRPr="00BA2608">
              <w:rPr>
                <w:rFonts w:asciiTheme="minorHAnsi" w:hAnsiTheme="minorHAnsi"/>
                <w:szCs w:val="22"/>
              </w:rPr>
              <w:t xml:space="preserve">: The management prescriptions for significant flora outlined in Appendix J of the Central Highlands FMP apply to harvesting operations without giving due consideration to roading operations.  In particular, the Central Highlands FMP does not specify management actions for species that grow in riparian areas, as it states they are adequately protected by waterway buffers and filters prescribed by the Code.  The auditor notes however that roads do impact riparian zones at crossings.  </w:t>
            </w:r>
          </w:p>
          <w:p w:rsidR="008C0D37" w:rsidRPr="00BA2608" w:rsidRDefault="008C0D37" w:rsidP="00D76CCD">
            <w:pPr>
              <w:spacing w:before="60" w:after="60"/>
              <w:rPr>
                <w:rFonts w:asciiTheme="minorHAnsi" w:hAnsiTheme="minorHAnsi"/>
                <w:szCs w:val="22"/>
              </w:rPr>
            </w:pPr>
            <w:r w:rsidRPr="00BA2608">
              <w:rPr>
                <w:rFonts w:asciiTheme="minorHAnsi" w:hAnsiTheme="minorHAnsi"/>
                <w:b/>
                <w:szCs w:val="22"/>
              </w:rPr>
              <w:t>Auditor’s Suggested Priority</w:t>
            </w:r>
            <w:r w:rsidRPr="00BA2608">
              <w:rPr>
                <w:rFonts w:asciiTheme="minorHAnsi" w:hAnsiTheme="minorHAnsi"/>
                <w:szCs w:val="22"/>
              </w:rPr>
              <w:t>: High</w:t>
            </w:r>
          </w:p>
        </w:tc>
        <w:tc>
          <w:tcPr>
            <w:tcW w:w="5245" w:type="dxa"/>
          </w:tcPr>
          <w:p w:rsidR="008C0D37" w:rsidRPr="00BA2608" w:rsidRDefault="00A858B0" w:rsidP="00226B17">
            <w:pPr>
              <w:spacing w:before="60" w:after="120"/>
              <w:rPr>
                <w:rFonts w:asciiTheme="minorHAnsi" w:hAnsiTheme="minorHAnsi"/>
                <w:szCs w:val="22"/>
              </w:rPr>
            </w:pPr>
            <w:r w:rsidRPr="00BA2608">
              <w:rPr>
                <w:rFonts w:asciiTheme="minorHAnsi" w:hAnsiTheme="minorHAnsi"/>
                <w:szCs w:val="22"/>
              </w:rPr>
              <w:t xml:space="preserve">This recommendation was addressed in </w:t>
            </w:r>
            <w:r w:rsidR="0076050D" w:rsidRPr="00BA2608">
              <w:rPr>
                <w:rFonts w:asciiTheme="minorHAnsi" w:hAnsiTheme="minorHAnsi"/>
                <w:szCs w:val="22"/>
              </w:rPr>
              <w:t xml:space="preserve">section </w:t>
            </w:r>
            <w:r w:rsidR="00642F47" w:rsidRPr="00BA2608">
              <w:rPr>
                <w:rFonts w:asciiTheme="minorHAnsi" w:hAnsiTheme="minorHAnsi"/>
                <w:szCs w:val="22"/>
              </w:rPr>
              <w:t>4.3.1.1</w:t>
            </w:r>
            <w:r w:rsidR="0076050D" w:rsidRPr="00BA2608">
              <w:rPr>
                <w:rFonts w:asciiTheme="minorHAnsi" w:hAnsiTheme="minorHAnsi"/>
                <w:szCs w:val="22"/>
              </w:rPr>
              <w:t xml:space="preserve"> of </w:t>
            </w:r>
            <w:r w:rsidR="005016B6" w:rsidRPr="00BA2608">
              <w:rPr>
                <w:rFonts w:asciiTheme="minorHAnsi" w:hAnsiTheme="minorHAnsi"/>
                <w:szCs w:val="22"/>
              </w:rPr>
              <w:t xml:space="preserve">the </w:t>
            </w:r>
            <w:r w:rsidRPr="00BA2608">
              <w:rPr>
                <w:rFonts w:asciiTheme="minorHAnsi" w:hAnsiTheme="minorHAnsi"/>
                <w:szCs w:val="22"/>
              </w:rPr>
              <w:t>new MSPs</w:t>
            </w:r>
            <w:r w:rsidR="00642F47" w:rsidRPr="00BA2608">
              <w:rPr>
                <w:rFonts w:asciiTheme="minorHAnsi" w:hAnsiTheme="minorHAnsi"/>
                <w:szCs w:val="22"/>
              </w:rPr>
              <w:t xml:space="preserve"> and the definition of a timber harvesting operation provided in the 2014 Code which includes roading operations</w:t>
            </w:r>
            <w:r w:rsidRPr="00BA2608">
              <w:rPr>
                <w:rFonts w:asciiTheme="minorHAnsi" w:hAnsiTheme="minorHAnsi"/>
                <w:szCs w:val="22"/>
              </w:rPr>
              <w:t>.</w:t>
            </w:r>
          </w:p>
          <w:p w:rsidR="00226B17" w:rsidRPr="00BA2608" w:rsidRDefault="00226B17" w:rsidP="00226B17">
            <w:pPr>
              <w:spacing w:before="60" w:after="120"/>
              <w:rPr>
                <w:rFonts w:asciiTheme="minorHAnsi" w:hAnsiTheme="minorHAnsi"/>
                <w:szCs w:val="22"/>
              </w:rPr>
            </w:pPr>
            <w:r w:rsidRPr="00BA2608">
              <w:rPr>
                <w:rFonts w:asciiTheme="minorHAnsi" w:hAnsiTheme="minorHAnsi"/>
                <w:szCs w:val="22"/>
              </w:rPr>
              <w:t xml:space="preserve">Any listed threatened species (riparian or otherwise) that are not currently referred to in the 2014 Code will also be considered in the planned stocktake mentioned under Recommendation REG 5 (above). </w:t>
            </w:r>
          </w:p>
        </w:tc>
      </w:tr>
      <w:tr w:rsidR="008C0D37" w:rsidRPr="00BA2608" w:rsidTr="00E32E6D">
        <w:tc>
          <w:tcPr>
            <w:tcW w:w="5246" w:type="dxa"/>
          </w:tcPr>
          <w:p w:rsidR="008C0D37" w:rsidRPr="00BA2608" w:rsidRDefault="008C0D37" w:rsidP="00D76CCD">
            <w:pPr>
              <w:spacing w:before="60" w:after="60"/>
              <w:rPr>
                <w:rFonts w:asciiTheme="minorHAnsi" w:hAnsiTheme="minorHAnsi"/>
                <w:b/>
                <w:szCs w:val="22"/>
              </w:rPr>
            </w:pPr>
            <w:r w:rsidRPr="00BA2608">
              <w:rPr>
                <w:rFonts w:asciiTheme="minorHAnsi" w:hAnsiTheme="minorHAnsi"/>
                <w:b/>
                <w:szCs w:val="22"/>
              </w:rPr>
              <w:t>Recommendation REG8</w:t>
            </w:r>
          </w:p>
          <w:p w:rsidR="008C0D37" w:rsidRPr="00BA2608" w:rsidRDefault="008C0D37" w:rsidP="00D76CCD">
            <w:pPr>
              <w:spacing w:before="60" w:after="60"/>
              <w:rPr>
                <w:rFonts w:asciiTheme="minorHAnsi" w:hAnsiTheme="minorHAnsi"/>
                <w:szCs w:val="22"/>
              </w:rPr>
            </w:pPr>
            <w:r w:rsidRPr="00BA2608">
              <w:rPr>
                <w:rFonts w:asciiTheme="minorHAnsi" w:hAnsiTheme="minorHAnsi"/>
                <w:szCs w:val="22"/>
              </w:rPr>
              <w:t>It is recommended that DEPI formally documents whether or not the following requirements apply to temporary roads:</w:t>
            </w:r>
          </w:p>
          <w:p w:rsidR="008C0D37" w:rsidRPr="00BA2608" w:rsidRDefault="008C0D37" w:rsidP="00D76CCD">
            <w:pPr>
              <w:spacing w:before="60" w:after="60"/>
              <w:rPr>
                <w:rFonts w:asciiTheme="minorHAnsi" w:hAnsiTheme="minorHAnsi"/>
                <w:szCs w:val="22"/>
              </w:rPr>
            </w:pPr>
            <w:r w:rsidRPr="00BA2608">
              <w:rPr>
                <w:rFonts w:asciiTheme="minorHAnsi" w:hAnsiTheme="minorHAnsi"/>
                <w:szCs w:val="22"/>
              </w:rPr>
              <w:t>• Management Procedures Section 1.6.1, notification and approval requirements for snigging forest produce or moving heavy machinery along or across temporary roads;</w:t>
            </w:r>
          </w:p>
          <w:p w:rsidR="008C0D37" w:rsidRPr="00BA2608" w:rsidRDefault="008C0D37" w:rsidP="00D76CCD">
            <w:pPr>
              <w:spacing w:before="60" w:after="60"/>
              <w:rPr>
                <w:rFonts w:asciiTheme="minorHAnsi" w:hAnsiTheme="minorHAnsi"/>
                <w:szCs w:val="22"/>
              </w:rPr>
            </w:pPr>
            <w:r w:rsidRPr="00BA2608">
              <w:rPr>
                <w:rFonts w:asciiTheme="minorHAnsi" w:hAnsiTheme="minorHAnsi"/>
                <w:szCs w:val="22"/>
              </w:rPr>
              <w:t>• Management Procedures Section 2.3.6, conformance of temporary road construction and maintenance to standards in the Road Management Agreement; and</w:t>
            </w:r>
          </w:p>
          <w:p w:rsidR="008C0D37" w:rsidRPr="00BA2608" w:rsidRDefault="008C0D37" w:rsidP="00D76CCD">
            <w:pPr>
              <w:spacing w:before="60" w:after="60"/>
              <w:rPr>
                <w:rFonts w:asciiTheme="minorHAnsi" w:hAnsiTheme="minorHAnsi"/>
                <w:szCs w:val="22"/>
              </w:rPr>
            </w:pPr>
            <w:r w:rsidRPr="00BA2608">
              <w:rPr>
                <w:rFonts w:asciiTheme="minorHAnsi" w:hAnsiTheme="minorHAnsi"/>
                <w:szCs w:val="22"/>
              </w:rPr>
              <w:t xml:space="preserve">• Management Procedures Section 1.6.3.1 construction and maintenance of temporary roads in accordance with the Review of Road Classifications, Geometric </w:t>
            </w:r>
            <w:r w:rsidRPr="00BA2608">
              <w:rPr>
                <w:rFonts w:asciiTheme="minorHAnsi" w:hAnsiTheme="minorHAnsi"/>
                <w:szCs w:val="22"/>
              </w:rPr>
              <w:lastRenderedPageBreak/>
              <w:t xml:space="preserve">Designs and Maintenance Standards. </w:t>
            </w:r>
          </w:p>
          <w:p w:rsidR="008C0D37" w:rsidRPr="00BA2608" w:rsidRDefault="008C0D37" w:rsidP="00D76CCD">
            <w:pPr>
              <w:spacing w:before="60" w:after="60"/>
              <w:rPr>
                <w:rFonts w:asciiTheme="minorHAnsi" w:hAnsiTheme="minorHAnsi"/>
                <w:szCs w:val="22"/>
              </w:rPr>
            </w:pPr>
            <w:r w:rsidRPr="00BA2608">
              <w:rPr>
                <w:rFonts w:asciiTheme="minorHAnsi" w:hAnsiTheme="minorHAnsi"/>
                <w:b/>
                <w:szCs w:val="22"/>
              </w:rPr>
              <w:t>Auditor’s Rationale</w:t>
            </w:r>
            <w:r w:rsidRPr="00BA2608">
              <w:rPr>
                <w:rFonts w:asciiTheme="minorHAnsi" w:hAnsiTheme="minorHAnsi"/>
                <w:szCs w:val="22"/>
              </w:rPr>
              <w:t>: The audit found that it was unclear whether the requirements are intended to apply to permanent roads only, or also to temporary roads.</w:t>
            </w:r>
          </w:p>
          <w:p w:rsidR="008C0D37" w:rsidRPr="00BA2608" w:rsidRDefault="008C0D37" w:rsidP="00D76CCD">
            <w:pPr>
              <w:spacing w:before="60" w:after="60"/>
              <w:rPr>
                <w:rFonts w:asciiTheme="minorHAnsi" w:hAnsiTheme="minorHAnsi"/>
                <w:szCs w:val="22"/>
              </w:rPr>
            </w:pPr>
            <w:r w:rsidRPr="00BA2608">
              <w:rPr>
                <w:rFonts w:asciiTheme="minorHAnsi" w:hAnsiTheme="minorHAnsi"/>
                <w:b/>
                <w:szCs w:val="22"/>
              </w:rPr>
              <w:t>Auditor’s Suggested Priority</w:t>
            </w:r>
            <w:r w:rsidRPr="00BA2608">
              <w:rPr>
                <w:rFonts w:asciiTheme="minorHAnsi" w:hAnsiTheme="minorHAnsi"/>
                <w:szCs w:val="22"/>
              </w:rPr>
              <w:t>: Low</w:t>
            </w:r>
          </w:p>
        </w:tc>
        <w:tc>
          <w:tcPr>
            <w:tcW w:w="5245" w:type="dxa"/>
          </w:tcPr>
          <w:p w:rsidR="008C0D37" w:rsidRPr="00BA2608" w:rsidRDefault="00A858B0" w:rsidP="00A11BB3">
            <w:pPr>
              <w:spacing w:before="60" w:after="60"/>
              <w:contextualSpacing/>
              <w:rPr>
                <w:rFonts w:asciiTheme="minorHAnsi" w:hAnsiTheme="minorHAnsi"/>
                <w:szCs w:val="22"/>
              </w:rPr>
            </w:pPr>
            <w:r w:rsidRPr="00BA2608">
              <w:rPr>
                <w:rFonts w:asciiTheme="minorHAnsi" w:hAnsiTheme="minorHAnsi"/>
                <w:szCs w:val="22"/>
              </w:rPr>
              <w:lastRenderedPageBreak/>
              <w:t>This recommendation was addressed in</w:t>
            </w:r>
            <w:r w:rsidR="0076050D" w:rsidRPr="00BA2608">
              <w:t xml:space="preserve"> </w:t>
            </w:r>
            <w:r w:rsidR="00A11BB3" w:rsidRPr="00BA2608">
              <w:rPr>
                <w:rFonts w:asciiTheme="minorHAnsi" w:hAnsiTheme="minorHAnsi"/>
                <w:szCs w:val="22"/>
              </w:rPr>
              <w:t>chapter 6</w:t>
            </w:r>
            <w:r w:rsidR="0076050D" w:rsidRPr="00BA2608">
              <w:rPr>
                <w:rFonts w:asciiTheme="minorHAnsi" w:hAnsiTheme="minorHAnsi"/>
                <w:szCs w:val="22"/>
              </w:rPr>
              <w:t xml:space="preserve"> of</w:t>
            </w:r>
            <w:r w:rsidRPr="00BA2608">
              <w:rPr>
                <w:rFonts w:asciiTheme="minorHAnsi" w:hAnsiTheme="minorHAnsi"/>
                <w:szCs w:val="22"/>
              </w:rPr>
              <w:t xml:space="preserve"> </w:t>
            </w:r>
            <w:r w:rsidR="005016B6" w:rsidRPr="00BA2608">
              <w:rPr>
                <w:rFonts w:asciiTheme="minorHAnsi" w:hAnsiTheme="minorHAnsi"/>
                <w:szCs w:val="22"/>
              </w:rPr>
              <w:t xml:space="preserve">the </w:t>
            </w:r>
            <w:r w:rsidRPr="00BA2608">
              <w:rPr>
                <w:rFonts w:asciiTheme="minorHAnsi" w:hAnsiTheme="minorHAnsi"/>
                <w:szCs w:val="22"/>
              </w:rPr>
              <w:t>new MSPs</w:t>
            </w:r>
            <w:r w:rsidR="00A11BB3" w:rsidRPr="00BA2608">
              <w:rPr>
                <w:rFonts w:asciiTheme="minorHAnsi" w:hAnsiTheme="minorHAnsi"/>
                <w:szCs w:val="22"/>
              </w:rPr>
              <w:t xml:space="preserve"> and section 2.4 of the 2014 Code</w:t>
            </w:r>
            <w:r w:rsidRPr="00BA2608">
              <w:rPr>
                <w:rFonts w:asciiTheme="minorHAnsi" w:hAnsiTheme="minorHAnsi"/>
                <w:szCs w:val="22"/>
              </w:rPr>
              <w:t>.</w:t>
            </w:r>
          </w:p>
        </w:tc>
      </w:tr>
      <w:tr w:rsidR="008C0D37" w:rsidRPr="00BA2608" w:rsidTr="00E32E6D">
        <w:tc>
          <w:tcPr>
            <w:tcW w:w="5246" w:type="dxa"/>
          </w:tcPr>
          <w:p w:rsidR="008C0D37" w:rsidRPr="00BA2608" w:rsidRDefault="008C0D37" w:rsidP="00D76CCD">
            <w:pPr>
              <w:spacing w:before="60" w:after="60"/>
              <w:rPr>
                <w:rFonts w:asciiTheme="minorHAnsi" w:hAnsiTheme="minorHAnsi"/>
                <w:szCs w:val="22"/>
              </w:rPr>
            </w:pPr>
            <w:r w:rsidRPr="00BA2608">
              <w:rPr>
                <w:rFonts w:asciiTheme="minorHAnsi" w:hAnsiTheme="minorHAnsi"/>
                <w:b/>
                <w:szCs w:val="22"/>
              </w:rPr>
              <w:lastRenderedPageBreak/>
              <w:t>Recommendation REG9</w:t>
            </w:r>
            <w:r w:rsidRPr="00BA2608">
              <w:rPr>
                <w:rFonts w:asciiTheme="minorHAnsi" w:hAnsiTheme="minorHAnsi"/>
                <w:szCs w:val="22"/>
              </w:rPr>
              <w:t xml:space="preserve"> – It is recommended that DEPI reviews the requirements for road crossings of waterways and provides guidance relating to movement of native fish through crossing structures. </w:t>
            </w:r>
          </w:p>
          <w:p w:rsidR="008C0D37" w:rsidRPr="00BA2608" w:rsidRDefault="008C0D37" w:rsidP="00D76CCD">
            <w:pPr>
              <w:spacing w:before="60" w:after="60"/>
              <w:rPr>
                <w:rFonts w:asciiTheme="minorHAnsi" w:hAnsiTheme="minorHAnsi"/>
                <w:szCs w:val="22"/>
              </w:rPr>
            </w:pPr>
            <w:r w:rsidRPr="00BA2608">
              <w:rPr>
                <w:rFonts w:asciiTheme="minorHAnsi" w:hAnsiTheme="minorHAnsi"/>
                <w:b/>
                <w:szCs w:val="22"/>
              </w:rPr>
              <w:t>Auditor’s Rationale</w:t>
            </w:r>
            <w:r w:rsidRPr="00BA2608">
              <w:rPr>
                <w:rFonts w:asciiTheme="minorHAnsi" w:hAnsiTheme="minorHAnsi"/>
                <w:szCs w:val="22"/>
              </w:rPr>
              <w:t>: Standard culverts are likely to present barriers for native fish species most often found in catchment headwaters. Appropriate crossing designs and structures can reduce these barriers, enabling natural migration cycles of native fish to continue.  Culvert discharges at three coupes were found to be non-compliant as they project above the bed of the stream in a way that is likely to inhibit the passage of native fish. The EIA risk ratings were assessed as Major for one coupe with a permanent road and Moderate for two coupes with temporary roads.  In all three cases, the stream beds were on gradients and of variable terrain such that installation of culverts without suspended outlets would require considerable excavation or result in significant acceleration of water flow.  In these cases, a crossing type other than a conventional culvert is likely to be more appropriate.</w:t>
            </w:r>
          </w:p>
          <w:p w:rsidR="008C0D37" w:rsidRPr="00BA2608" w:rsidRDefault="008C0D37" w:rsidP="00D76CCD">
            <w:pPr>
              <w:spacing w:before="60" w:after="60"/>
              <w:rPr>
                <w:rFonts w:asciiTheme="minorHAnsi" w:hAnsiTheme="minorHAnsi"/>
                <w:szCs w:val="22"/>
              </w:rPr>
            </w:pPr>
            <w:r w:rsidRPr="00BA2608">
              <w:rPr>
                <w:rFonts w:asciiTheme="minorHAnsi" w:hAnsiTheme="minorHAnsi"/>
                <w:b/>
                <w:szCs w:val="22"/>
              </w:rPr>
              <w:t>Auditor’s Suggested Priority</w:t>
            </w:r>
            <w:r w:rsidRPr="00BA2608">
              <w:rPr>
                <w:rFonts w:asciiTheme="minorHAnsi" w:hAnsiTheme="minorHAnsi"/>
                <w:szCs w:val="22"/>
              </w:rPr>
              <w:t>: High</w:t>
            </w:r>
          </w:p>
        </w:tc>
        <w:tc>
          <w:tcPr>
            <w:tcW w:w="5245" w:type="dxa"/>
          </w:tcPr>
          <w:p w:rsidR="007A02A6" w:rsidRDefault="007A02A6" w:rsidP="007A02A6">
            <w:pPr>
              <w:spacing w:before="60" w:after="120"/>
              <w:ind w:left="34"/>
              <w:rPr>
                <w:rFonts w:asciiTheme="minorHAnsi" w:hAnsiTheme="minorHAnsi"/>
                <w:szCs w:val="22"/>
              </w:rPr>
            </w:pPr>
            <w:r>
              <w:rPr>
                <w:rFonts w:asciiTheme="minorHAnsi" w:hAnsiTheme="minorHAnsi"/>
                <w:szCs w:val="22"/>
              </w:rPr>
              <w:t xml:space="preserve">DELWP’s Timber Harvesting Compliance Unit </w:t>
            </w:r>
            <w:r w:rsidR="00B75AE1" w:rsidRPr="00BA2608">
              <w:rPr>
                <w:rFonts w:asciiTheme="minorHAnsi" w:hAnsiTheme="minorHAnsi"/>
                <w:szCs w:val="22"/>
              </w:rPr>
              <w:t>has investigated the three fish barrier issues identified in the audit report and</w:t>
            </w:r>
            <w:r w:rsidR="00CF79AB" w:rsidRPr="00BA2608">
              <w:rPr>
                <w:rFonts w:asciiTheme="minorHAnsi" w:hAnsiTheme="minorHAnsi"/>
                <w:szCs w:val="22"/>
              </w:rPr>
              <w:t xml:space="preserve"> notes that the current </w:t>
            </w:r>
            <w:r w:rsidR="00B75AE1" w:rsidRPr="00BA2608">
              <w:rPr>
                <w:rFonts w:asciiTheme="minorHAnsi" w:hAnsiTheme="minorHAnsi"/>
                <w:szCs w:val="22"/>
              </w:rPr>
              <w:t xml:space="preserve">2014 </w:t>
            </w:r>
            <w:r w:rsidR="00CF79AB" w:rsidRPr="00BA2608">
              <w:rPr>
                <w:rFonts w:asciiTheme="minorHAnsi" w:hAnsiTheme="minorHAnsi"/>
                <w:szCs w:val="22"/>
              </w:rPr>
              <w:t xml:space="preserve">Code </w:t>
            </w:r>
            <w:r>
              <w:rPr>
                <w:rFonts w:asciiTheme="minorHAnsi" w:hAnsiTheme="minorHAnsi"/>
                <w:szCs w:val="22"/>
              </w:rPr>
              <w:t xml:space="preserve">would benefit from additional </w:t>
            </w:r>
            <w:r w:rsidR="00CF79AB" w:rsidRPr="00BA2608">
              <w:rPr>
                <w:rFonts w:asciiTheme="minorHAnsi" w:hAnsiTheme="minorHAnsi"/>
                <w:szCs w:val="22"/>
              </w:rPr>
              <w:t xml:space="preserve">guidance </w:t>
            </w:r>
            <w:r w:rsidRPr="00BA2608">
              <w:rPr>
                <w:rFonts w:asciiTheme="minorHAnsi" w:hAnsiTheme="minorHAnsi"/>
                <w:szCs w:val="22"/>
              </w:rPr>
              <w:t xml:space="preserve">in relation </w:t>
            </w:r>
            <w:r>
              <w:rPr>
                <w:rFonts w:asciiTheme="minorHAnsi" w:hAnsiTheme="minorHAnsi"/>
                <w:szCs w:val="22"/>
              </w:rPr>
              <w:t xml:space="preserve">to </w:t>
            </w:r>
            <w:r w:rsidR="00CF79AB" w:rsidRPr="00BA2608">
              <w:rPr>
                <w:rFonts w:asciiTheme="minorHAnsi" w:hAnsiTheme="minorHAnsi"/>
                <w:szCs w:val="22"/>
              </w:rPr>
              <w:t xml:space="preserve">fish </w:t>
            </w:r>
            <w:r>
              <w:rPr>
                <w:rFonts w:asciiTheme="minorHAnsi" w:hAnsiTheme="minorHAnsi"/>
                <w:szCs w:val="22"/>
              </w:rPr>
              <w:t xml:space="preserve">migration and </w:t>
            </w:r>
            <w:r w:rsidR="00CF79AB" w:rsidRPr="00BA2608">
              <w:rPr>
                <w:rFonts w:asciiTheme="minorHAnsi" w:hAnsiTheme="minorHAnsi"/>
                <w:szCs w:val="22"/>
              </w:rPr>
              <w:t xml:space="preserve">culvert construction. </w:t>
            </w:r>
          </w:p>
          <w:p w:rsidR="007A02A6" w:rsidRDefault="00CF79AB" w:rsidP="007A02A6">
            <w:pPr>
              <w:spacing w:before="60" w:after="120"/>
              <w:ind w:left="34"/>
              <w:rPr>
                <w:rFonts w:asciiTheme="minorHAnsi" w:hAnsiTheme="minorHAnsi"/>
                <w:szCs w:val="22"/>
              </w:rPr>
            </w:pPr>
            <w:r w:rsidRPr="00BA2608">
              <w:rPr>
                <w:rFonts w:asciiTheme="minorHAnsi" w:hAnsiTheme="minorHAnsi"/>
                <w:szCs w:val="22"/>
              </w:rPr>
              <w:t>To prevent the future occurrence of barriers to fish</w:t>
            </w:r>
            <w:r w:rsidR="00B75AE1" w:rsidRPr="00BA2608">
              <w:rPr>
                <w:rFonts w:asciiTheme="minorHAnsi" w:hAnsiTheme="minorHAnsi"/>
                <w:szCs w:val="22"/>
              </w:rPr>
              <w:t xml:space="preserve"> migration DELWP will</w:t>
            </w:r>
            <w:r w:rsidRPr="00BA2608">
              <w:rPr>
                <w:rFonts w:asciiTheme="minorHAnsi" w:hAnsiTheme="minorHAnsi"/>
                <w:szCs w:val="22"/>
              </w:rPr>
              <w:t xml:space="preserve"> review the requirements for </w:t>
            </w:r>
            <w:r w:rsidR="00B75AE1" w:rsidRPr="00BA2608">
              <w:rPr>
                <w:rFonts w:asciiTheme="minorHAnsi" w:hAnsiTheme="minorHAnsi"/>
                <w:szCs w:val="22"/>
              </w:rPr>
              <w:t xml:space="preserve">waterway crossings </w:t>
            </w:r>
            <w:r w:rsidR="007A02A6">
              <w:rPr>
                <w:rFonts w:asciiTheme="minorHAnsi" w:hAnsiTheme="minorHAnsi"/>
                <w:szCs w:val="22"/>
              </w:rPr>
              <w:t xml:space="preserve">in the code and will work with VicForests to </w:t>
            </w:r>
            <w:r w:rsidRPr="00BA2608">
              <w:rPr>
                <w:rFonts w:asciiTheme="minorHAnsi" w:hAnsiTheme="minorHAnsi"/>
                <w:szCs w:val="22"/>
              </w:rPr>
              <w:t xml:space="preserve">develop new </w:t>
            </w:r>
            <w:r w:rsidR="007A02A6">
              <w:rPr>
                <w:rFonts w:asciiTheme="minorHAnsi" w:hAnsiTheme="minorHAnsi"/>
                <w:szCs w:val="22"/>
              </w:rPr>
              <w:t xml:space="preserve">operational </w:t>
            </w:r>
            <w:r w:rsidRPr="00BA2608">
              <w:rPr>
                <w:rFonts w:asciiTheme="minorHAnsi" w:hAnsiTheme="minorHAnsi"/>
                <w:szCs w:val="22"/>
              </w:rPr>
              <w:t xml:space="preserve">guidance </w:t>
            </w:r>
            <w:r w:rsidR="007A02A6">
              <w:rPr>
                <w:rFonts w:asciiTheme="minorHAnsi" w:hAnsiTheme="minorHAnsi"/>
                <w:szCs w:val="22"/>
              </w:rPr>
              <w:t xml:space="preserve">on facilitating </w:t>
            </w:r>
            <w:r w:rsidRPr="00BA2608">
              <w:rPr>
                <w:rFonts w:asciiTheme="minorHAnsi" w:hAnsiTheme="minorHAnsi"/>
                <w:szCs w:val="22"/>
              </w:rPr>
              <w:t>the movement of native fish.</w:t>
            </w:r>
            <w:r w:rsidR="00B75AE1" w:rsidRPr="00BA2608">
              <w:rPr>
                <w:rFonts w:asciiTheme="minorHAnsi" w:hAnsiTheme="minorHAnsi"/>
                <w:szCs w:val="22"/>
              </w:rPr>
              <w:t xml:space="preserve"> </w:t>
            </w:r>
          </w:p>
          <w:p w:rsidR="008C0D37" w:rsidRPr="00BA2608" w:rsidRDefault="00CF79AB" w:rsidP="007A02A6">
            <w:pPr>
              <w:spacing w:before="60" w:after="120"/>
              <w:ind w:left="34"/>
              <w:rPr>
                <w:rFonts w:asciiTheme="minorHAnsi" w:hAnsiTheme="minorHAnsi"/>
                <w:szCs w:val="22"/>
              </w:rPr>
            </w:pPr>
            <w:r w:rsidRPr="00BA2608">
              <w:rPr>
                <w:rFonts w:asciiTheme="minorHAnsi" w:hAnsiTheme="minorHAnsi"/>
                <w:szCs w:val="22"/>
              </w:rPr>
              <w:t xml:space="preserve">DELWP will </w:t>
            </w:r>
            <w:r w:rsidR="00B75AE1" w:rsidRPr="00BA2608">
              <w:rPr>
                <w:rFonts w:asciiTheme="minorHAnsi" w:hAnsiTheme="minorHAnsi"/>
                <w:szCs w:val="22"/>
              </w:rPr>
              <w:t>incorporate r</w:t>
            </w:r>
            <w:r w:rsidR="00B5448E" w:rsidRPr="00BA2608">
              <w:rPr>
                <w:rFonts w:asciiTheme="minorHAnsi" w:hAnsiTheme="minorHAnsi"/>
                <w:szCs w:val="22"/>
              </w:rPr>
              <w:t xml:space="preserve">elevant </w:t>
            </w:r>
            <w:r w:rsidR="00B75AE1" w:rsidRPr="00BA2608">
              <w:rPr>
                <w:rFonts w:asciiTheme="minorHAnsi" w:hAnsiTheme="minorHAnsi"/>
                <w:szCs w:val="22"/>
              </w:rPr>
              <w:t xml:space="preserve">details in the next update of the Code/MSPs. </w:t>
            </w:r>
          </w:p>
        </w:tc>
      </w:tr>
      <w:tr w:rsidR="008C0D37" w:rsidRPr="00BA2608" w:rsidTr="00E32E6D">
        <w:tc>
          <w:tcPr>
            <w:tcW w:w="5246" w:type="dxa"/>
          </w:tcPr>
          <w:p w:rsidR="008C0D37" w:rsidRPr="00BA2608" w:rsidRDefault="008C0D37" w:rsidP="00D76CCD">
            <w:pPr>
              <w:spacing w:before="60" w:after="60"/>
              <w:rPr>
                <w:rFonts w:asciiTheme="minorHAnsi" w:hAnsiTheme="minorHAnsi"/>
                <w:szCs w:val="22"/>
              </w:rPr>
            </w:pPr>
            <w:r w:rsidRPr="00BA2608">
              <w:rPr>
                <w:rFonts w:asciiTheme="minorHAnsi" w:hAnsiTheme="minorHAnsi"/>
                <w:b/>
                <w:szCs w:val="22"/>
              </w:rPr>
              <w:t>Recommendation REG10</w:t>
            </w:r>
            <w:r w:rsidRPr="00BA2608">
              <w:rPr>
                <w:rFonts w:asciiTheme="minorHAnsi" w:hAnsiTheme="minorHAnsi"/>
                <w:szCs w:val="22"/>
              </w:rPr>
              <w:t xml:space="preserve"> - It is recommended that the following regulatory documents be revised to eliminate inconsistencies.</w:t>
            </w:r>
          </w:p>
          <w:p w:rsidR="008C0D37" w:rsidRPr="00BA2608" w:rsidRDefault="008C0D37" w:rsidP="00D76CCD">
            <w:pPr>
              <w:spacing w:before="60" w:after="60"/>
              <w:rPr>
                <w:rFonts w:asciiTheme="minorHAnsi" w:hAnsiTheme="minorHAnsi"/>
                <w:szCs w:val="22"/>
              </w:rPr>
            </w:pPr>
            <w:r w:rsidRPr="00BA2608">
              <w:rPr>
                <w:rFonts w:asciiTheme="minorHAnsi" w:hAnsiTheme="minorHAnsi"/>
                <w:szCs w:val="22"/>
              </w:rPr>
              <w:t xml:space="preserve">• Management Procedures Section 2.3.6 notification requirements for retention of temporary roads for use in the permanent road network is inconsistent with processes specified in the Road Maintenance Agreement 2014. </w:t>
            </w:r>
          </w:p>
          <w:p w:rsidR="008C0D37" w:rsidRPr="00BA2608" w:rsidRDefault="008C0D37" w:rsidP="00D76CCD">
            <w:pPr>
              <w:spacing w:before="60" w:after="60"/>
              <w:rPr>
                <w:rFonts w:asciiTheme="minorHAnsi" w:hAnsiTheme="minorHAnsi"/>
                <w:szCs w:val="22"/>
              </w:rPr>
            </w:pPr>
            <w:r w:rsidRPr="00BA2608">
              <w:rPr>
                <w:rFonts w:asciiTheme="minorHAnsi" w:hAnsiTheme="minorHAnsi"/>
                <w:szCs w:val="22"/>
              </w:rPr>
              <w:t xml:space="preserve">• The Review of Road Classifications, Geometric Designs and Maintenance Standards (ARRB 2001) document referred to in the Management Procedures section 1.6.3.1 specifies 5D roads should have 1 m wide table drains. The Road Maintenance Agreement 2014 referred to in Management Procedures section 2.3.6 </w:t>
            </w:r>
            <w:r w:rsidRPr="00BA2608">
              <w:rPr>
                <w:rFonts w:asciiTheme="minorHAnsi" w:hAnsiTheme="minorHAnsi"/>
                <w:szCs w:val="22"/>
              </w:rPr>
              <w:lastRenderedPageBreak/>
              <w:t>does not specify table drain requirements for 5D roads.</w:t>
            </w:r>
          </w:p>
          <w:p w:rsidR="008C0D37" w:rsidRPr="00BA2608" w:rsidRDefault="008C0D37" w:rsidP="00D76CCD">
            <w:pPr>
              <w:spacing w:before="60" w:after="60"/>
              <w:rPr>
                <w:rFonts w:asciiTheme="minorHAnsi" w:hAnsiTheme="minorHAnsi"/>
                <w:szCs w:val="22"/>
              </w:rPr>
            </w:pPr>
            <w:r w:rsidRPr="00BA2608">
              <w:rPr>
                <w:rFonts w:asciiTheme="minorHAnsi" w:hAnsiTheme="minorHAnsi"/>
                <w:b/>
                <w:szCs w:val="22"/>
              </w:rPr>
              <w:t>Auditor’s Rationale</w:t>
            </w:r>
            <w:r w:rsidRPr="00BA2608">
              <w:rPr>
                <w:rFonts w:asciiTheme="minorHAnsi" w:hAnsiTheme="minorHAnsi"/>
                <w:szCs w:val="22"/>
              </w:rPr>
              <w:t>: The auditor noted two inconsistencies between regulatory documents referred to from the Management Procedures.</w:t>
            </w:r>
          </w:p>
          <w:p w:rsidR="008C0D37" w:rsidRPr="00BA2608" w:rsidRDefault="008C0D37" w:rsidP="00D76CCD">
            <w:pPr>
              <w:spacing w:before="60" w:after="60"/>
              <w:rPr>
                <w:rFonts w:asciiTheme="minorHAnsi" w:hAnsiTheme="minorHAnsi"/>
                <w:szCs w:val="22"/>
              </w:rPr>
            </w:pPr>
            <w:r w:rsidRPr="00BA2608">
              <w:rPr>
                <w:rFonts w:asciiTheme="minorHAnsi" w:hAnsiTheme="minorHAnsi"/>
                <w:b/>
                <w:szCs w:val="22"/>
              </w:rPr>
              <w:t>Auditor’s Suggested Priority</w:t>
            </w:r>
            <w:r w:rsidRPr="00BA2608">
              <w:rPr>
                <w:rFonts w:asciiTheme="minorHAnsi" w:hAnsiTheme="minorHAnsi"/>
                <w:szCs w:val="22"/>
              </w:rPr>
              <w:t>: Low</w:t>
            </w:r>
          </w:p>
        </w:tc>
        <w:tc>
          <w:tcPr>
            <w:tcW w:w="5245" w:type="dxa"/>
          </w:tcPr>
          <w:p w:rsidR="008C0D37" w:rsidRPr="00BA2608" w:rsidRDefault="00A858B0" w:rsidP="009C60C3">
            <w:pPr>
              <w:spacing w:before="60" w:after="60"/>
              <w:contextualSpacing/>
              <w:rPr>
                <w:rFonts w:asciiTheme="minorHAnsi" w:hAnsiTheme="minorHAnsi"/>
                <w:szCs w:val="22"/>
              </w:rPr>
            </w:pPr>
            <w:r w:rsidRPr="00BA2608">
              <w:rPr>
                <w:rFonts w:asciiTheme="minorHAnsi" w:hAnsiTheme="minorHAnsi"/>
                <w:szCs w:val="22"/>
              </w:rPr>
              <w:lastRenderedPageBreak/>
              <w:t xml:space="preserve">This recommendation was addressed in </w:t>
            </w:r>
            <w:r w:rsidR="003D7093" w:rsidRPr="00BA2608">
              <w:rPr>
                <w:rFonts w:asciiTheme="minorHAnsi" w:hAnsiTheme="minorHAnsi"/>
                <w:szCs w:val="22"/>
              </w:rPr>
              <w:t>chapter 6 of the new MSPs and section 2.4 of the 2014 Code.</w:t>
            </w:r>
          </w:p>
        </w:tc>
      </w:tr>
      <w:tr w:rsidR="008C0D37" w:rsidRPr="00BA2608" w:rsidTr="00E32E6D">
        <w:tc>
          <w:tcPr>
            <w:tcW w:w="5246" w:type="dxa"/>
          </w:tcPr>
          <w:p w:rsidR="008C0D37" w:rsidRPr="00BA2608" w:rsidRDefault="008C0D37" w:rsidP="00D76CCD">
            <w:pPr>
              <w:spacing w:before="60" w:after="60"/>
              <w:rPr>
                <w:rFonts w:asciiTheme="minorHAnsi" w:hAnsiTheme="minorHAnsi"/>
                <w:szCs w:val="22"/>
              </w:rPr>
            </w:pPr>
            <w:r w:rsidRPr="00BA2608">
              <w:rPr>
                <w:rFonts w:asciiTheme="minorHAnsi" w:hAnsiTheme="minorHAnsi"/>
                <w:b/>
                <w:szCs w:val="22"/>
              </w:rPr>
              <w:lastRenderedPageBreak/>
              <w:t>Recommendation REG11</w:t>
            </w:r>
            <w:r w:rsidRPr="00BA2608">
              <w:rPr>
                <w:rFonts w:asciiTheme="minorHAnsi" w:hAnsiTheme="minorHAnsi"/>
                <w:szCs w:val="22"/>
              </w:rPr>
              <w:t xml:space="preserve"> – The auditor recommends that the requirement in Section 1.6.3.7 of the Management Procedures to utilise topsoil stockpiles to rehabilitate road batter slopes be reviewed for removal.  </w:t>
            </w:r>
          </w:p>
          <w:p w:rsidR="008C0D37" w:rsidRPr="00BA2608" w:rsidRDefault="008C0D37" w:rsidP="00D76CCD">
            <w:pPr>
              <w:spacing w:before="60" w:after="60"/>
              <w:rPr>
                <w:rFonts w:asciiTheme="minorHAnsi" w:hAnsiTheme="minorHAnsi"/>
                <w:szCs w:val="22"/>
              </w:rPr>
            </w:pPr>
            <w:r w:rsidRPr="00BA2608">
              <w:rPr>
                <w:rFonts w:asciiTheme="minorHAnsi" w:hAnsiTheme="minorHAnsi"/>
                <w:b/>
                <w:szCs w:val="22"/>
              </w:rPr>
              <w:t>Auditor’s Rationale</w:t>
            </w:r>
            <w:r w:rsidRPr="00BA2608">
              <w:rPr>
                <w:rFonts w:asciiTheme="minorHAnsi" w:hAnsiTheme="minorHAnsi"/>
                <w:szCs w:val="22"/>
              </w:rPr>
              <w:t>: Technical references relating to low volume road engineering indicate slope design, retaining structures, buttresses, brush layering and drainage are effective means of stabilising exposed batters, and that topsoil placed on slopes greater than 40 degrees may be subject to sliver fill failure. The auditor also considers that stockpiled topsoil would be of greater value in rehabilitating temporary road alignments after they have been reshaped to a more natural profile on completion of harvesting.</w:t>
            </w:r>
          </w:p>
          <w:p w:rsidR="008C0D37" w:rsidRPr="00BA2608" w:rsidRDefault="008C0D37" w:rsidP="00D76CCD">
            <w:pPr>
              <w:spacing w:before="60" w:after="60"/>
              <w:rPr>
                <w:rFonts w:asciiTheme="minorHAnsi" w:hAnsiTheme="minorHAnsi"/>
                <w:szCs w:val="22"/>
              </w:rPr>
            </w:pPr>
            <w:r w:rsidRPr="00BA2608">
              <w:rPr>
                <w:rFonts w:asciiTheme="minorHAnsi" w:hAnsiTheme="minorHAnsi"/>
                <w:b/>
                <w:szCs w:val="22"/>
              </w:rPr>
              <w:t>Auditor’s Suggested Priority</w:t>
            </w:r>
            <w:r w:rsidRPr="00BA2608">
              <w:rPr>
                <w:rFonts w:asciiTheme="minorHAnsi" w:hAnsiTheme="minorHAnsi"/>
                <w:szCs w:val="22"/>
              </w:rPr>
              <w:t>: Low</w:t>
            </w:r>
          </w:p>
        </w:tc>
        <w:tc>
          <w:tcPr>
            <w:tcW w:w="5245" w:type="dxa"/>
          </w:tcPr>
          <w:p w:rsidR="008C0D37" w:rsidRPr="00BA2608" w:rsidRDefault="00E3258A" w:rsidP="00B264D9">
            <w:pPr>
              <w:spacing w:before="60" w:after="60"/>
              <w:contextualSpacing/>
              <w:rPr>
                <w:rFonts w:asciiTheme="minorHAnsi" w:hAnsiTheme="minorHAnsi"/>
                <w:szCs w:val="22"/>
              </w:rPr>
            </w:pPr>
            <w:r w:rsidRPr="00BA2608">
              <w:rPr>
                <w:rFonts w:asciiTheme="minorHAnsi" w:hAnsiTheme="minorHAnsi"/>
                <w:szCs w:val="22"/>
              </w:rPr>
              <w:t xml:space="preserve">This recommendation was addressed in </w:t>
            </w:r>
            <w:r w:rsidR="0076050D" w:rsidRPr="00BA2608">
              <w:rPr>
                <w:rFonts w:asciiTheme="minorHAnsi" w:hAnsiTheme="minorHAnsi"/>
                <w:szCs w:val="22"/>
              </w:rPr>
              <w:t xml:space="preserve">section </w:t>
            </w:r>
            <w:r w:rsidR="00B264D9" w:rsidRPr="00BA2608">
              <w:rPr>
                <w:rFonts w:asciiTheme="minorHAnsi" w:hAnsiTheme="minorHAnsi"/>
                <w:szCs w:val="22"/>
              </w:rPr>
              <w:t>6.2.2</w:t>
            </w:r>
            <w:r w:rsidR="0076050D" w:rsidRPr="00BA2608">
              <w:rPr>
                <w:rFonts w:asciiTheme="minorHAnsi" w:hAnsiTheme="minorHAnsi"/>
                <w:szCs w:val="22"/>
              </w:rPr>
              <w:t xml:space="preserve"> of </w:t>
            </w:r>
            <w:r w:rsidR="005016B6" w:rsidRPr="00BA2608">
              <w:rPr>
                <w:rFonts w:asciiTheme="minorHAnsi" w:hAnsiTheme="minorHAnsi"/>
                <w:szCs w:val="22"/>
              </w:rPr>
              <w:t xml:space="preserve">the </w:t>
            </w:r>
            <w:r w:rsidRPr="00BA2608">
              <w:rPr>
                <w:rFonts w:asciiTheme="minorHAnsi" w:hAnsiTheme="minorHAnsi"/>
                <w:szCs w:val="22"/>
              </w:rPr>
              <w:t>new MSPs.</w:t>
            </w:r>
          </w:p>
        </w:tc>
      </w:tr>
      <w:tr w:rsidR="008C0D37" w:rsidRPr="00BA2608" w:rsidTr="00E32E6D">
        <w:tc>
          <w:tcPr>
            <w:tcW w:w="5246" w:type="dxa"/>
          </w:tcPr>
          <w:p w:rsidR="008C0D37" w:rsidRPr="00BA2608" w:rsidRDefault="008C0D37" w:rsidP="00BA2608">
            <w:pPr>
              <w:spacing w:before="60" w:after="60"/>
              <w:jc w:val="center"/>
              <w:rPr>
                <w:rFonts w:asciiTheme="minorHAnsi" w:hAnsiTheme="minorHAnsi"/>
                <w:b/>
                <w:szCs w:val="22"/>
              </w:rPr>
            </w:pPr>
            <w:r w:rsidRPr="00BA2608">
              <w:rPr>
                <w:rFonts w:asciiTheme="minorHAnsi" w:hAnsiTheme="minorHAnsi"/>
                <w:szCs w:val="22"/>
              </w:rPr>
              <w:t>(</w:t>
            </w:r>
            <w:r w:rsidRPr="00BA2608">
              <w:rPr>
                <w:rFonts w:asciiTheme="minorHAnsi" w:hAnsiTheme="minorHAnsi"/>
                <w:color w:val="FF0000"/>
                <w:szCs w:val="22"/>
              </w:rPr>
              <w:t>Regeneration and finalisation</w:t>
            </w:r>
            <w:r w:rsidRPr="00BA2608">
              <w:rPr>
                <w:rFonts w:asciiTheme="minorHAnsi" w:hAnsiTheme="minorHAnsi"/>
                <w:szCs w:val="22"/>
              </w:rPr>
              <w:t>)</w:t>
            </w:r>
          </w:p>
          <w:p w:rsidR="008C0D37" w:rsidRPr="00BA2608" w:rsidRDefault="008C0D37" w:rsidP="00D76CCD">
            <w:pPr>
              <w:spacing w:before="60" w:after="60"/>
              <w:rPr>
                <w:rFonts w:asciiTheme="minorHAnsi" w:hAnsiTheme="minorHAnsi"/>
                <w:szCs w:val="22"/>
              </w:rPr>
            </w:pPr>
            <w:r w:rsidRPr="00BA2608">
              <w:rPr>
                <w:rFonts w:asciiTheme="minorHAnsi" w:hAnsiTheme="minorHAnsi"/>
                <w:b/>
                <w:szCs w:val="22"/>
              </w:rPr>
              <w:t>Recommendation REG12</w:t>
            </w:r>
            <w:r w:rsidRPr="00BA2608">
              <w:rPr>
                <w:rFonts w:asciiTheme="minorHAnsi" w:hAnsiTheme="minorHAnsi"/>
                <w:szCs w:val="22"/>
              </w:rPr>
              <w:t xml:space="preserve"> - It is recommended that the Code prescription relating to suitability of silvicultural methods for regeneration of understorey species be reviewed and revised to clarify its intended purpose; and that the standards and methods for the regeneration and assessment of regeneration of understorey species are developed and documented. </w:t>
            </w:r>
          </w:p>
          <w:p w:rsidR="008C0D37" w:rsidRPr="00BA2608" w:rsidRDefault="008C0D37" w:rsidP="00D76CCD">
            <w:pPr>
              <w:spacing w:before="60" w:after="60"/>
              <w:rPr>
                <w:rFonts w:asciiTheme="minorHAnsi" w:hAnsiTheme="minorHAnsi"/>
                <w:szCs w:val="22"/>
              </w:rPr>
            </w:pPr>
            <w:r w:rsidRPr="00BA2608">
              <w:rPr>
                <w:rFonts w:asciiTheme="minorHAnsi" w:hAnsiTheme="minorHAnsi"/>
                <w:b/>
                <w:szCs w:val="22"/>
              </w:rPr>
              <w:t>Auditor’s Rationale</w:t>
            </w:r>
            <w:r w:rsidRPr="00BA2608">
              <w:rPr>
                <w:rFonts w:asciiTheme="minorHAnsi" w:hAnsiTheme="minorHAnsi"/>
                <w:szCs w:val="22"/>
              </w:rPr>
              <w:t xml:space="preserve">: The audit found the Code prescription ‘Silvicultural methods for regeneration must be appropriate to the forest type (including understory species) and local conditions’ could not be fully assessed in relation to treatment of understory species. It is unclear whether this prescription is introducing further requirements to provide for these species at a coupe level, or whether it is aimed at the more disturbance tolerant understory species. It is also noted that the inclusion of standards and methods for regenerating understory species within Victorian native forestry guidelines and manuals would aid consistent interpretation of this requirement, as they are largely </w:t>
            </w:r>
            <w:r w:rsidRPr="00BA2608">
              <w:rPr>
                <w:rFonts w:asciiTheme="minorHAnsi" w:hAnsiTheme="minorHAnsi"/>
                <w:szCs w:val="22"/>
              </w:rPr>
              <w:lastRenderedPageBreak/>
              <w:t>focused on overstorey species.</w:t>
            </w:r>
          </w:p>
          <w:p w:rsidR="008C0D37" w:rsidRPr="00BA2608" w:rsidRDefault="008C0D37" w:rsidP="00D76CCD">
            <w:pPr>
              <w:spacing w:before="60" w:after="60"/>
              <w:rPr>
                <w:rFonts w:asciiTheme="minorHAnsi" w:hAnsiTheme="minorHAnsi"/>
                <w:szCs w:val="22"/>
              </w:rPr>
            </w:pPr>
            <w:r w:rsidRPr="00BA2608">
              <w:rPr>
                <w:rFonts w:asciiTheme="minorHAnsi" w:hAnsiTheme="minorHAnsi"/>
                <w:b/>
                <w:szCs w:val="22"/>
              </w:rPr>
              <w:t>Auditor’s Suggested Priority</w:t>
            </w:r>
            <w:r w:rsidRPr="00BA2608">
              <w:rPr>
                <w:rFonts w:asciiTheme="minorHAnsi" w:hAnsiTheme="minorHAnsi"/>
                <w:szCs w:val="22"/>
              </w:rPr>
              <w:t>: Medium</w:t>
            </w:r>
          </w:p>
        </w:tc>
        <w:tc>
          <w:tcPr>
            <w:tcW w:w="5245" w:type="dxa"/>
          </w:tcPr>
          <w:p w:rsidR="008C0D37" w:rsidRPr="00BA2608" w:rsidRDefault="00FB07DF" w:rsidP="00002192">
            <w:pPr>
              <w:spacing w:before="60" w:after="60"/>
              <w:rPr>
                <w:rFonts w:asciiTheme="minorHAnsi" w:hAnsiTheme="minorHAnsi"/>
                <w:szCs w:val="22"/>
              </w:rPr>
            </w:pPr>
            <w:r w:rsidRPr="00BA2608">
              <w:rPr>
                <w:rFonts w:asciiTheme="minorHAnsi" w:hAnsiTheme="minorHAnsi"/>
                <w:szCs w:val="22"/>
              </w:rPr>
              <w:lastRenderedPageBreak/>
              <w:t xml:space="preserve">This recommendation was addressed in </w:t>
            </w:r>
            <w:r w:rsidR="0076050D" w:rsidRPr="00BA2608">
              <w:rPr>
                <w:rFonts w:asciiTheme="minorHAnsi" w:hAnsiTheme="minorHAnsi"/>
                <w:szCs w:val="22"/>
              </w:rPr>
              <w:t xml:space="preserve">sections </w:t>
            </w:r>
            <w:r w:rsidR="00002192" w:rsidRPr="00BA2608">
              <w:rPr>
                <w:rFonts w:asciiTheme="minorHAnsi" w:hAnsiTheme="minorHAnsi"/>
                <w:szCs w:val="22"/>
              </w:rPr>
              <w:t>2.2.2.10, 2.5.1.7, 2.6.1.4 to 2.6.1.6, 2.6.1.8, 2.6.1.9 and 2.6.2.3</w:t>
            </w:r>
            <w:r w:rsidR="0076050D" w:rsidRPr="00BA2608">
              <w:rPr>
                <w:rFonts w:asciiTheme="minorHAnsi" w:hAnsiTheme="minorHAnsi"/>
                <w:szCs w:val="22"/>
              </w:rPr>
              <w:t xml:space="preserve"> of </w:t>
            </w:r>
            <w:r w:rsidR="00660193">
              <w:rPr>
                <w:rFonts w:asciiTheme="minorHAnsi" w:hAnsiTheme="minorHAnsi"/>
                <w:szCs w:val="22"/>
              </w:rPr>
              <w:t>the 2014 Code</w:t>
            </w:r>
            <w:r w:rsidRPr="00BA2608">
              <w:rPr>
                <w:rFonts w:asciiTheme="minorHAnsi" w:hAnsiTheme="minorHAnsi"/>
                <w:szCs w:val="22"/>
              </w:rPr>
              <w:t>.</w:t>
            </w:r>
          </w:p>
        </w:tc>
      </w:tr>
      <w:tr w:rsidR="008C0D37" w:rsidRPr="00D76CCD" w:rsidTr="00E32E6D">
        <w:tc>
          <w:tcPr>
            <w:tcW w:w="5246" w:type="dxa"/>
          </w:tcPr>
          <w:p w:rsidR="008C0D37" w:rsidRPr="00BA2608" w:rsidRDefault="008C0D37" w:rsidP="00BA2608">
            <w:pPr>
              <w:spacing w:before="60" w:after="60"/>
              <w:jc w:val="center"/>
              <w:rPr>
                <w:rFonts w:asciiTheme="minorHAnsi" w:hAnsiTheme="minorHAnsi"/>
                <w:szCs w:val="22"/>
              </w:rPr>
            </w:pPr>
            <w:r w:rsidRPr="00BA2608">
              <w:rPr>
                <w:rFonts w:asciiTheme="minorHAnsi" w:hAnsiTheme="minorHAnsi"/>
                <w:szCs w:val="22"/>
              </w:rPr>
              <w:lastRenderedPageBreak/>
              <w:t>(</w:t>
            </w:r>
            <w:r w:rsidRPr="00BA2608">
              <w:rPr>
                <w:rFonts w:asciiTheme="minorHAnsi" w:hAnsiTheme="minorHAnsi"/>
                <w:color w:val="FF0000"/>
                <w:szCs w:val="22"/>
              </w:rPr>
              <w:t>Regeneration and finalisation</w:t>
            </w:r>
            <w:r w:rsidRPr="00BA2608">
              <w:rPr>
                <w:rFonts w:asciiTheme="minorHAnsi" w:hAnsiTheme="minorHAnsi"/>
                <w:szCs w:val="22"/>
              </w:rPr>
              <w:t>)</w:t>
            </w:r>
          </w:p>
          <w:p w:rsidR="008C0D37" w:rsidRPr="00BA2608" w:rsidRDefault="008C0D37" w:rsidP="00D76CCD">
            <w:pPr>
              <w:spacing w:before="60" w:after="60"/>
              <w:rPr>
                <w:rFonts w:asciiTheme="minorHAnsi" w:hAnsiTheme="minorHAnsi"/>
                <w:szCs w:val="22"/>
              </w:rPr>
            </w:pPr>
            <w:r w:rsidRPr="00BA2608">
              <w:rPr>
                <w:rFonts w:asciiTheme="minorHAnsi" w:hAnsiTheme="minorHAnsi"/>
                <w:b/>
                <w:szCs w:val="22"/>
              </w:rPr>
              <w:t>Recommendation REG13</w:t>
            </w:r>
            <w:r w:rsidRPr="00BA2608">
              <w:rPr>
                <w:rFonts w:asciiTheme="minorHAnsi" w:hAnsiTheme="minorHAnsi"/>
                <w:szCs w:val="22"/>
              </w:rPr>
              <w:t xml:space="preserve"> - The auditor recommends that in future regeneration audits, a desktop assessment of compliance of a sample representative of all harvested coupes completed in a given year be undertaken to determine if actions are being taken to successfully regenerate all coupes, not only those submitted as regenerated.</w:t>
            </w:r>
          </w:p>
          <w:p w:rsidR="008C0D37" w:rsidRPr="00BA2608" w:rsidRDefault="008C0D37" w:rsidP="00D76CCD">
            <w:pPr>
              <w:spacing w:before="60" w:after="60"/>
              <w:rPr>
                <w:rFonts w:asciiTheme="minorHAnsi" w:hAnsiTheme="minorHAnsi"/>
                <w:szCs w:val="22"/>
              </w:rPr>
            </w:pPr>
            <w:r w:rsidRPr="00BA2608">
              <w:rPr>
                <w:rFonts w:asciiTheme="minorHAnsi" w:hAnsiTheme="minorHAnsi"/>
                <w:b/>
                <w:szCs w:val="22"/>
              </w:rPr>
              <w:t>Auditor’s Rationale</w:t>
            </w:r>
            <w:r w:rsidRPr="00BA2608">
              <w:rPr>
                <w:rFonts w:asciiTheme="minorHAnsi" w:hAnsiTheme="minorHAnsi"/>
                <w:szCs w:val="22"/>
              </w:rPr>
              <w:t xml:space="preserve">: The FAP audits only those coupes that VicForests has submitted as being adequately stocked.  There is no check of whether actions are being taken to successfully regenerate all coupes and whether a backlog of unregenerated coupes is accumulating.  </w:t>
            </w:r>
          </w:p>
          <w:p w:rsidR="008C0D37" w:rsidRPr="00BA2608" w:rsidRDefault="008C0D37" w:rsidP="00D76CCD">
            <w:pPr>
              <w:spacing w:before="60" w:after="60"/>
              <w:rPr>
                <w:rFonts w:asciiTheme="minorHAnsi" w:hAnsiTheme="minorHAnsi"/>
                <w:szCs w:val="22"/>
              </w:rPr>
            </w:pPr>
            <w:r w:rsidRPr="00BA2608">
              <w:rPr>
                <w:rFonts w:asciiTheme="minorHAnsi" w:hAnsiTheme="minorHAnsi"/>
                <w:szCs w:val="22"/>
              </w:rPr>
              <w:t xml:space="preserve">The 2013 Victorian Auditor-General’s Report, Managing Victoria’s Native Forest Timber Resources, identified deficiencies in both VicForests’ and DEPI’s processes of reconciliation of regenerated areas with harvested areas.   </w:t>
            </w:r>
          </w:p>
          <w:p w:rsidR="008C0D37" w:rsidRPr="00BA2608" w:rsidRDefault="008C0D37" w:rsidP="00D76CCD">
            <w:pPr>
              <w:spacing w:before="60" w:after="60"/>
              <w:rPr>
                <w:rFonts w:asciiTheme="minorHAnsi" w:hAnsiTheme="minorHAnsi"/>
                <w:szCs w:val="22"/>
              </w:rPr>
            </w:pPr>
            <w:r w:rsidRPr="00BA2608">
              <w:rPr>
                <w:rFonts w:asciiTheme="minorHAnsi" w:hAnsiTheme="minorHAnsi"/>
                <w:b/>
                <w:szCs w:val="22"/>
              </w:rPr>
              <w:t>Auditor’s Suggested Priority</w:t>
            </w:r>
            <w:r w:rsidRPr="00BA2608">
              <w:rPr>
                <w:rFonts w:asciiTheme="minorHAnsi" w:hAnsiTheme="minorHAnsi"/>
                <w:szCs w:val="22"/>
              </w:rPr>
              <w:t>: Medium</w:t>
            </w:r>
          </w:p>
        </w:tc>
        <w:tc>
          <w:tcPr>
            <w:tcW w:w="5245" w:type="dxa"/>
          </w:tcPr>
          <w:p w:rsidR="00226B17" w:rsidRPr="00BA2608" w:rsidRDefault="00226B17" w:rsidP="005377F6">
            <w:pPr>
              <w:spacing w:before="60" w:after="60"/>
              <w:contextualSpacing/>
              <w:rPr>
                <w:rFonts w:asciiTheme="minorHAnsi" w:hAnsiTheme="minorHAnsi"/>
                <w:szCs w:val="22"/>
              </w:rPr>
            </w:pPr>
          </w:p>
          <w:p w:rsidR="00226B17" w:rsidRPr="00BA2608" w:rsidRDefault="00905F22" w:rsidP="00226B17">
            <w:pPr>
              <w:spacing w:before="60" w:after="120"/>
              <w:rPr>
                <w:rFonts w:asciiTheme="minorHAnsi" w:hAnsiTheme="minorHAnsi"/>
                <w:szCs w:val="22"/>
              </w:rPr>
            </w:pPr>
            <w:r w:rsidRPr="00BA2608">
              <w:rPr>
                <w:rFonts w:asciiTheme="minorHAnsi" w:hAnsiTheme="minorHAnsi"/>
                <w:szCs w:val="22"/>
              </w:rPr>
              <w:t xml:space="preserve">DELWP </w:t>
            </w:r>
            <w:r w:rsidR="00B75AE1" w:rsidRPr="00BA2608">
              <w:rPr>
                <w:rFonts w:asciiTheme="minorHAnsi" w:hAnsiTheme="minorHAnsi"/>
                <w:szCs w:val="22"/>
              </w:rPr>
              <w:t xml:space="preserve">notes the issues raised in this </w:t>
            </w:r>
            <w:r w:rsidR="00B5448E" w:rsidRPr="00BA2608">
              <w:rPr>
                <w:rFonts w:asciiTheme="minorHAnsi" w:hAnsiTheme="minorHAnsi"/>
                <w:szCs w:val="22"/>
              </w:rPr>
              <w:t xml:space="preserve">audit report </w:t>
            </w:r>
            <w:r w:rsidR="00B75AE1" w:rsidRPr="00BA2608">
              <w:rPr>
                <w:rFonts w:asciiTheme="minorHAnsi" w:hAnsiTheme="minorHAnsi"/>
                <w:szCs w:val="22"/>
              </w:rPr>
              <w:t xml:space="preserve">and the Victorian Auditor General’s Office audit of 2013.  </w:t>
            </w:r>
          </w:p>
          <w:p w:rsidR="008C0D37" w:rsidRPr="00D76CCD" w:rsidRDefault="005377F6" w:rsidP="00226B17">
            <w:pPr>
              <w:spacing w:before="60" w:after="120"/>
              <w:rPr>
                <w:rFonts w:asciiTheme="minorHAnsi" w:hAnsiTheme="minorHAnsi"/>
                <w:szCs w:val="22"/>
              </w:rPr>
            </w:pPr>
            <w:r w:rsidRPr="00BA2608">
              <w:rPr>
                <w:rFonts w:asciiTheme="minorHAnsi" w:hAnsiTheme="minorHAnsi"/>
                <w:szCs w:val="22"/>
              </w:rPr>
              <w:t>This recommendation</w:t>
            </w:r>
            <w:r w:rsidR="00B75AE1" w:rsidRPr="00BA2608">
              <w:rPr>
                <w:rFonts w:asciiTheme="minorHAnsi" w:hAnsiTheme="minorHAnsi"/>
                <w:szCs w:val="22"/>
              </w:rPr>
              <w:t xml:space="preserve"> will be considered by DELWP</w:t>
            </w:r>
            <w:r w:rsidR="00B5448E" w:rsidRPr="00BA2608">
              <w:rPr>
                <w:rFonts w:asciiTheme="minorHAnsi" w:hAnsiTheme="minorHAnsi"/>
                <w:szCs w:val="22"/>
              </w:rPr>
              <w:t xml:space="preserve"> when</w:t>
            </w:r>
            <w:r w:rsidR="00B75AE1" w:rsidRPr="00BA2608">
              <w:rPr>
                <w:rFonts w:asciiTheme="minorHAnsi" w:hAnsiTheme="minorHAnsi"/>
                <w:szCs w:val="22"/>
              </w:rPr>
              <w:t xml:space="preserve"> designing the next Forest A</w:t>
            </w:r>
            <w:r w:rsidRPr="00BA2608">
              <w:rPr>
                <w:rFonts w:asciiTheme="minorHAnsi" w:hAnsiTheme="minorHAnsi"/>
                <w:szCs w:val="22"/>
              </w:rPr>
              <w:t>udit</w:t>
            </w:r>
            <w:r w:rsidR="00B75AE1" w:rsidRPr="00BA2608">
              <w:rPr>
                <w:rFonts w:asciiTheme="minorHAnsi" w:hAnsiTheme="minorHAnsi"/>
                <w:szCs w:val="22"/>
              </w:rPr>
              <w:t xml:space="preserve"> Program</w:t>
            </w:r>
            <w:r w:rsidRPr="00BA2608">
              <w:rPr>
                <w:rFonts w:asciiTheme="minorHAnsi" w:hAnsiTheme="minorHAnsi"/>
                <w:szCs w:val="22"/>
              </w:rPr>
              <w:t xml:space="preserve"> project </w:t>
            </w:r>
            <w:r w:rsidR="00B5448E" w:rsidRPr="00BA2608">
              <w:rPr>
                <w:rFonts w:asciiTheme="minorHAnsi" w:hAnsiTheme="minorHAnsi"/>
                <w:szCs w:val="22"/>
              </w:rPr>
              <w:t xml:space="preserve">to </w:t>
            </w:r>
            <w:r w:rsidRPr="00BA2608">
              <w:rPr>
                <w:rFonts w:asciiTheme="minorHAnsi" w:hAnsiTheme="minorHAnsi"/>
                <w:szCs w:val="22"/>
              </w:rPr>
              <w:t>assess</w:t>
            </w:r>
            <w:r w:rsidR="00226B17" w:rsidRPr="00BA2608">
              <w:rPr>
                <w:rFonts w:asciiTheme="minorHAnsi" w:hAnsiTheme="minorHAnsi"/>
                <w:szCs w:val="22"/>
              </w:rPr>
              <w:t xml:space="preserve"> the </w:t>
            </w:r>
            <w:r w:rsidRPr="00BA2608">
              <w:rPr>
                <w:rFonts w:asciiTheme="minorHAnsi" w:hAnsiTheme="minorHAnsi"/>
                <w:szCs w:val="22"/>
              </w:rPr>
              <w:t>regeneration</w:t>
            </w:r>
            <w:r w:rsidR="00226B17" w:rsidRPr="00BA2608">
              <w:rPr>
                <w:rFonts w:asciiTheme="minorHAnsi" w:hAnsiTheme="minorHAnsi"/>
                <w:szCs w:val="22"/>
              </w:rPr>
              <w:t xml:space="preserve"> of timber harvesting coupes</w:t>
            </w:r>
            <w:r w:rsidRPr="00BA2608">
              <w:rPr>
                <w:rFonts w:asciiTheme="minorHAnsi" w:hAnsiTheme="minorHAnsi"/>
                <w:szCs w:val="22"/>
              </w:rPr>
              <w:t>.</w:t>
            </w:r>
            <w:r>
              <w:rPr>
                <w:rFonts w:asciiTheme="minorHAnsi" w:hAnsiTheme="minorHAnsi"/>
                <w:szCs w:val="22"/>
              </w:rPr>
              <w:t xml:space="preserve"> </w:t>
            </w:r>
          </w:p>
        </w:tc>
      </w:tr>
    </w:tbl>
    <w:p w:rsidR="00FC4E61" w:rsidRPr="00FC4E61" w:rsidRDefault="00FC4E61" w:rsidP="00D76CCD">
      <w:pPr>
        <w:pStyle w:val="Caption"/>
        <w:rPr>
          <w:rFonts w:eastAsia="Calibri"/>
        </w:rPr>
      </w:pPr>
    </w:p>
    <w:sectPr w:rsidR="00FC4E61" w:rsidRPr="00FC4E61" w:rsidSect="00AA7FC7">
      <w:headerReference w:type="default" r:id="rId9"/>
      <w:footerReference w:type="default" r:id="rId10"/>
      <w:headerReference w:type="first" r:id="rId11"/>
      <w:footerReference w:type="first" r:id="rId12"/>
      <w:pgSz w:w="11907" w:h="16840" w:code="9"/>
      <w:pgMar w:top="2786" w:right="567" w:bottom="851" w:left="1134" w:header="284" w:footer="1020" w:gutter="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CDF" w:rsidRDefault="00942CDF">
      <w:r>
        <w:separator/>
      </w:r>
    </w:p>
  </w:endnote>
  <w:endnote w:type="continuationSeparator" w:id="0">
    <w:p w:rsidR="00942CDF" w:rsidRDefault="00942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3DE" w:rsidRPr="00C86652" w:rsidRDefault="003B43DE" w:rsidP="00C86652">
    <w:pPr>
      <w:pStyle w:val="ImprintBreak"/>
    </w:pPr>
  </w:p>
  <w:p w:rsidR="008E39E1" w:rsidRPr="006643F2" w:rsidRDefault="008E39E1" w:rsidP="006643F2">
    <w:pPr>
      <w:pStyle w:val="ImprintText"/>
    </w:pPr>
    <w:r w:rsidRPr="0091317E">
      <w:rPr>
        <w:rFonts w:ascii="Arial" w:hAnsi="Arial"/>
      </w:rPr>
      <w:t xml:space="preserve">© </w:t>
    </w:r>
    <w:r w:rsidRPr="006643F2">
      <w:t>The State of Victoria Department of Environment, Land, Water and Planning 2015</w:t>
    </w:r>
  </w:p>
  <w:p w:rsidR="003B43DE" w:rsidRPr="008E39E1" w:rsidRDefault="00D053C5" w:rsidP="008E39E1">
    <w:pPr>
      <w:autoSpaceDE w:val="0"/>
      <w:autoSpaceDN w:val="0"/>
      <w:adjustRightInd w:val="0"/>
      <w:spacing w:after="120"/>
      <w:rPr>
        <w:rFonts w:ascii="Arial" w:hAnsi="Arial" w:cs="Arial"/>
        <w:color w:val="000000"/>
        <w:sz w:val="14"/>
        <w:szCs w:val="14"/>
      </w:rPr>
    </w:pPr>
    <w:r>
      <w:rPr>
        <w:rFonts w:ascii="Arial" w:hAnsi="Arial" w:cs="Arial"/>
        <w:noProof/>
        <w:color w:val="000000"/>
        <w:sz w:val="14"/>
        <w:szCs w:val="14"/>
        <w:lang w:eastAsia="en-AU"/>
      </w:rPr>
      <w:drawing>
        <wp:inline distT="0" distB="0" distL="0" distR="0" wp14:anchorId="6041417B" wp14:editId="4279E586">
          <wp:extent cx="586740" cy="203200"/>
          <wp:effectExtent l="0" t="0" r="3810" b="6350"/>
          <wp:docPr id="5" name="Picture 5"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 cy="203200"/>
                  </a:xfrm>
                  <a:prstGeom prst="rect">
                    <a:avLst/>
                  </a:prstGeom>
                  <a:noFill/>
                  <a:ln>
                    <a:noFill/>
                  </a:ln>
                </pic:spPr>
              </pic:pic>
            </a:graphicData>
          </a:graphic>
        </wp:inline>
      </w:drawing>
    </w:r>
    <w:r>
      <w:rPr>
        <w:noProof/>
        <w:lang w:eastAsia="en-AU"/>
      </w:rPr>
      <w:drawing>
        <wp:anchor distT="0" distB="0" distL="114300" distR="114300" simplePos="0" relativeHeight="251658752" behindDoc="0" locked="0" layoutInCell="1" allowOverlap="1" wp14:anchorId="5967175A" wp14:editId="62F7B115">
          <wp:simplePos x="0" y="0"/>
          <wp:positionH relativeFrom="column">
            <wp:posOffset>4827270</wp:posOffset>
          </wp:positionH>
          <wp:positionV relativeFrom="paragraph">
            <wp:posOffset>107315</wp:posOffset>
          </wp:positionV>
          <wp:extent cx="1706880" cy="381000"/>
          <wp:effectExtent l="0" t="0" r="7620" b="0"/>
          <wp:wrapNone/>
          <wp:docPr id="6" name="Picture 6" descr="(DELWP) Insignia PMS541 Right Al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LWP) Insignia PMS541 Right Align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6880" cy="381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3DE" w:rsidRDefault="00D053C5" w:rsidP="002015AD">
    <w:pPr>
      <w:pStyle w:val="Footer"/>
    </w:pPr>
    <w:r>
      <w:rPr>
        <w:noProof/>
        <w:lang w:eastAsia="en-AU"/>
      </w:rPr>
      <w:drawing>
        <wp:anchor distT="0" distB="0" distL="114300" distR="114300" simplePos="0" relativeHeight="251657728" behindDoc="0" locked="0" layoutInCell="1" allowOverlap="1" wp14:anchorId="73D7DA0E" wp14:editId="3AD5527B">
          <wp:simplePos x="0" y="0"/>
          <wp:positionH relativeFrom="column">
            <wp:posOffset>4568190</wp:posOffset>
          </wp:positionH>
          <wp:positionV relativeFrom="paragraph">
            <wp:posOffset>5080</wp:posOffset>
          </wp:positionV>
          <wp:extent cx="1924050" cy="429260"/>
          <wp:effectExtent l="0" t="0" r="0" b="8890"/>
          <wp:wrapNone/>
          <wp:docPr id="8" name="Picture 8" descr="(DELWP) Insignia PMS541 Right Al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LWP) Insignia PMS541 Right Align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4292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CDF" w:rsidRDefault="00942CDF">
      <w:r>
        <w:separator/>
      </w:r>
    </w:p>
  </w:footnote>
  <w:footnote w:type="continuationSeparator" w:id="0">
    <w:p w:rsidR="00942CDF" w:rsidRDefault="00942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8700"/>
    </w:tblGrid>
    <w:tr w:rsidR="003B43DE" w:rsidRPr="00F83A6F" w:rsidTr="00D76CCD">
      <w:trPr>
        <w:trHeight w:val="1286"/>
      </w:trPr>
      <w:tc>
        <w:tcPr>
          <w:tcW w:w="8700" w:type="dxa"/>
          <w:shd w:val="clear" w:color="auto" w:fill="auto"/>
          <w:vAlign w:val="center"/>
        </w:tcPr>
        <w:p w:rsidR="007D06DC" w:rsidRDefault="00D053C5" w:rsidP="007D06DC">
          <w:pPr>
            <w:pStyle w:val="CertHDWhite"/>
            <w:tabs>
              <w:tab w:val="left" w:pos="7513"/>
            </w:tabs>
          </w:pPr>
          <w:r>
            <w:rPr>
              <w:noProof/>
              <w:lang w:eastAsia="en-AU"/>
            </w:rPr>
            <w:drawing>
              <wp:anchor distT="0" distB="0" distL="114300" distR="114300" simplePos="0" relativeHeight="251655680" behindDoc="1" locked="0" layoutInCell="1" allowOverlap="1" wp14:anchorId="327F0435" wp14:editId="4DD1459C">
                <wp:simplePos x="0" y="0"/>
                <wp:positionH relativeFrom="column">
                  <wp:posOffset>-383540</wp:posOffset>
                </wp:positionH>
                <wp:positionV relativeFrom="paragraph">
                  <wp:posOffset>149225</wp:posOffset>
                </wp:positionV>
                <wp:extent cx="6869430" cy="1176655"/>
                <wp:effectExtent l="0" t="0" r="7620" b="4445"/>
                <wp:wrapNone/>
                <wp:docPr id="4" name="Picture 4"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9430" cy="1176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43DE" w:rsidRPr="008110B2" w:rsidRDefault="00AA7FC7" w:rsidP="007D06DC">
          <w:pPr>
            <w:pStyle w:val="CertHDWhite"/>
            <w:tabs>
              <w:tab w:val="left" w:pos="3544"/>
              <w:tab w:val="left" w:pos="7513"/>
            </w:tabs>
            <w:rPr>
              <w:szCs w:val="40"/>
            </w:rPr>
          </w:pPr>
          <w:r>
            <w:rPr>
              <w:szCs w:val="40"/>
            </w:rPr>
            <w:t xml:space="preserve">Regulator’s response to Harvesting and Closure and Regeneration and </w:t>
          </w:r>
          <w:r w:rsidR="00D76CCD">
            <w:rPr>
              <w:szCs w:val="40"/>
            </w:rPr>
            <w:t>Finalisation Audit 2014</w:t>
          </w:r>
        </w:p>
      </w:tc>
    </w:tr>
  </w:tbl>
  <w:p w:rsidR="003B43DE" w:rsidRDefault="003B43DE" w:rsidP="009E66AE">
    <w:pPr>
      <w:pStyle w:val="ImprintBreak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3DE" w:rsidRDefault="00D053C5" w:rsidP="0003050C">
    <w:pPr>
      <w:pStyle w:val="Header"/>
    </w:pPr>
    <w:r>
      <w:rPr>
        <w:noProof/>
        <w:lang w:eastAsia="en-AU"/>
      </w:rPr>
      <w:drawing>
        <wp:anchor distT="0" distB="0" distL="114300" distR="114300" simplePos="0" relativeHeight="251656704" behindDoc="1" locked="0" layoutInCell="1" allowOverlap="1" wp14:anchorId="53516737" wp14:editId="74F19B18">
          <wp:simplePos x="0" y="0"/>
          <wp:positionH relativeFrom="column">
            <wp:posOffset>-338427</wp:posOffset>
          </wp:positionH>
          <wp:positionV relativeFrom="paragraph">
            <wp:posOffset>233128</wp:posOffset>
          </wp:positionV>
          <wp:extent cx="6846073" cy="2464904"/>
          <wp:effectExtent l="0" t="0" r="0" b="0"/>
          <wp:wrapNone/>
          <wp:docPr id="7" name="Picture 7"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6073" cy="246490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2E233D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9553FFE"/>
    <w:multiLevelType w:val="hybridMultilevel"/>
    <w:tmpl w:val="0B0E61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16B19F9"/>
    <w:multiLevelType w:val="multilevel"/>
    <w:tmpl w:val="B134B1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decimal"/>
      <w:lvlText w:val="%3."/>
      <w:lvlJc w:val="left"/>
      <w:pPr>
        <w:tabs>
          <w:tab w:val="num" w:pos="1800"/>
        </w:tabs>
        <w:ind w:left="180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9"/>
  </w:num>
  <w:num w:numId="14">
    <w:abstractNumId w:val="15"/>
  </w:num>
  <w:num w:numId="15">
    <w:abstractNumId w:val="18"/>
  </w:num>
  <w:num w:numId="16">
    <w:abstractNumId w:val="11"/>
  </w:num>
  <w:num w:numId="17">
    <w:abstractNumId w:val="18"/>
  </w:num>
  <w:num w:numId="18">
    <w:abstractNumId w:val="18"/>
  </w:num>
  <w:num w:numId="19">
    <w:abstractNumId w:val="18"/>
  </w:num>
  <w:num w:numId="20">
    <w:abstractNumId w:val="10"/>
  </w:num>
  <w:num w:numId="21">
    <w:abstractNumId w:val="13"/>
  </w:num>
  <w:num w:numId="22">
    <w:abstractNumId w:val="16"/>
  </w:num>
  <w:num w:numId="23">
    <w:abstractNumId w:val="1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4199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02192"/>
    <w:rsid w:val="00002718"/>
    <w:rsid w:val="00012793"/>
    <w:rsid w:val="00013903"/>
    <w:rsid w:val="00013D7A"/>
    <w:rsid w:val="0003050C"/>
    <w:rsid w:val="00034D96"/>
    <w:rsid w:val="0003535F"/>
    <w:rsid w:val="00047AC6"/>
    <w:rsid w:val="00055FEF"/>
    <w:rsid w:val="00063E31"/>
    <w:rsid w:val="00077758"/>
    <w:rsid w:val="0008754B"/>
    <w:rsid w:val="0009699E"/>
    <w:rsid w:val="000C1E27"/>
    <w:rsid w:val="000C3259"/>
    <w:rsid w:val="000C39E4"/>
    <w:rsid w:val="000D19B9"/>
    <w:rsid w:val="00107807"/>
    <w:rsid w:val="0011268C"/>
    <w:rsid w:val="00116F0B"/>
    <w:rsid w:val="00120C40"/>
    <w:rsid w:val="00120F3F"/>
    <w:rsid w:val="00125376"/>
    <w:rsid w:val="00135491"/>
    <w:rsid w:val="00154577"/>
    <w:rsid w:val="00177115"/>
    <w:rsid w:val="00181FBC"/>
    <w:rsid w:val="001A243B"/>
    <w:rsid w:val="001A5223"/>
    <w:rsid w:val="001A553D"/>
    <w:rsid w:val="001C14C3"/>
    <w:rsid w:val="001C2D21"/>
    <w:rsid w:val="001C3014"/>
    <w:rsid w:val="001E2024"/>
    <w:rsid w:val="002015AD"/>
    <w:rsid w:val="0020255B"/>
    <w:rsid w:val="002122D2"/>
    <w:rsid w:val="00217D52"/>
    <w:rsid w:val="00226B17"/>
    <w:rsid w:val="00236DA4"/>
    <w:rsid w:val="00246D68"/>
    <w:rsid w:val="002526EA"/>
    <w:rsid w:val="00261DCB"/>
    <w:rsid w:val="00271B91"/>
    <w:rsid w:val="00285925"/>
    <w:rsid w:val="002C4BC3"/>
    <w:rsid w:val="002C5BA2"/>
    <w:rsid w:val="002D2478"/>
    <w:rsid w:val="002D3CC8"/>
    <w:rsid w:val="002D680B"/>
    <w:rsid w:val="002E2EC1"/>
    <w:rsid w:val="00321F9E"/>
    <w:rsid w:val="00330679"/>
    <w:rsid w:val="00352795"/>
    <w:rsid w:val="00361402"/>
    <w:rsid w:val="003B43DE"/>
    <w:rsid w:val="003C2962"/>
    <w:rsid w:val="003D7093"/>
    <w:rsid w:val="003E0B9A"/>
    <w:rsid w:val="003F437F"/>
    <w:rsid w:val="003F5A5C"/>
    <w:rsid w:val="00404EF3"/>
    <w:rsid w:val="0043348E"/>
    <w:rsid w:val="004405EE"/>
    <w:rsid w:val="004426E1"/>
    <w:rsid w:val="00455AC0"/>
    <w:rsid w:val="0047538B"/>
    <w:rsid w:val="004969C1"/>
    <w:rsid w:val="004E4BDF"/>
    <w:rsid w:val="004E6888"/>
    <w:rsid w:val="004F1D0B"/>
    <w:rsid w:val="005016B6"/>
    <w:rsid w:val="0050769F"/>
    <w:rsid w:val="00512102"/>
    <w:rsid w:val="005229C6"/>
    <w:rsid w:val="00524C52"/>
    <w:rsid w:val="005304F7"/>
    <w:rsid w:val="00534B38"/>
    <w:rsid w:val="005377F6"/>
    <w:rsid w:val="00540762"/>
    <w:rsid w:val="00544B68"/>
    <w:rsid w:val="00553652"/>
    <w:rsid w:val="00557B17"/>
    <w:rsid w:val="00563923"/>
    <w:rsid w:val="00573E23"/>
    <w:rsid w:val="00575F3A"/>
    <w:rsid w:val="00582724"/>
    <w:rsid w:val="005B3CE8"/>
    <w:rsid w:val="005C1A86"/>
    <w:rsid w:val="005C70F5"/>
    <w:rsid w:val="005D299D"/>
    <w:rsid w:val="00603134"/>
    <w:rsid w:val="00606451"/>
    <w:rsid w:val="00623482"/>
    <w:rsid w:val="0062669A"/>
    <w:rsid w:val="00632914"/>
    <w:rsid w:val="00642F47"/>
    <w:rsid w:val="00656186"/>
    <w:rsid w:val="00660193"/>
    <w:rsid w:val="006643F2"/>
    <w:rsid w:val="00670F9E"/>
    <w:rsid w:val="006741C5"/>
    <w:rsid w:val="00675636"/>
    <w:rsid w:val="0069559B"/>
    <w:rsid w:val="006B4688"/>
    <w:rsid w:val="006F53DB"/>
    <w:rsid w:val="006F707D"/>
    <w:rsid w:val="0070362A"/>
    <w:rsid w:val="00705440"/>
    <w:rsid w:val="00731631"/>
    <w:rsid w:val="00752E36"/>
    <w:rsid w:val="00756A07"/>
    <w:rsid w:val="0076050D"/>
    <w:rsid w:val="007702BD"/>
    <w:rsid w:val="007A02A6"/>
    <w:rsid w:val="007B0E45"/>
    <w:rsid w:val="007B1469"/>
    <w:rsid w:val="007B62F8"/>
    <w:rsid w:val="007B6E26"/>
    <w:rsid w:val="007C0BF1"/>
    <w:rsid w:val="007D06DC"/>
    <w:rsid w:val="007E3E33"/>
    <w:rsid w:val="007F5211"/>
    <w:rsid w:val="008110B2"/>
    <w:rsid w:val="0082409D"/>
    <w:rsid w:val="00834943"/>
    <w:rsid w:val="0083541B"/>
    <w:rsid w:val="00865A63"/>
    <w:rsid w:val="00872BAF"/>
    <w:rsid w:val="008732EE"/>
    <w:rsid w:val="008832F9"/>
    <w:rsid w:val="00887805"/>
    <w:rsid w:val="008979EB"/>
    <w:rsid w:val="008A3013"/>
    <w:rsid w:val="008A3B87"/>
    <w:rsid w:val="008A6BBA"/>
    <w:rsid w:val="008B61B5"/>
    <w:rsid w:val="008C0D37"/>
    <w:rsid w:val="008C1B1D"/>
    <w:rsid w:val="008E39E1"/>
    <w:rsid w:val="008F4932"/>
    <w:rsid w:val="00905F22"/>
    <w:rsid w:val="00926BDE"/>
    <w:rsid w:val="00927E6A"/>
    <w:rsid w:val="00942CDF"/>
    <w:rsid w:val="00953344"/>
    <w:rsid w:val="00962D3B"/>
    <w:rsid w:val="00972191"/>
    <w:rsid w:val="00981EA2"/>
    <w:rsid w:val="009872FB"/>
    <w:rsid w:val="009C3B5A"/>
    <w:rsid w:val="009C60C3"/>
    <w:rsid w:val="009E666D"/>
    <w:rsid w:val="009E66AE"/>
    <w:rsid w:val="009F2D92"/>
    <w:rsid w:val="00A0021E"/>
    <w:rsid w:val="00A02559"/>
    <w:rsid w:val="00A03F08"/>
    <w:rsid w:val="00A04614"/>
    <w:rsid w:val="00A11BB3"/>
    <w:rsid w:val="00A11FE6"/>
    <w:rsid w:val="00A357C2"/>
    <w:rsid w:val="00A36BC9"/>
    <w:rsid w:val="00A37BFA"/>
    <w:rsid w:val="00A56C4D"/>
    <w:rsid w:val="00A6450E"/>
    <w:rsid w:val="00A67D11"/>
    <w:rsid w:val="00A730A4"/>
    <w:rsid w:val="00A80E1B"/>
    <w:rsid w:val="00A83A7C"/>
    <w:rsid w:val="00A85593"/>
    <w:rsid w:val="00A858B0"/>
    <w:rsid w:val="00A87AC6"/>
    <w:rsid w:val="00A909D4"/>
    <w:rsid w:val="00AA6401"/>
    <w:rsid w:val="00AA7FC7"/>
    <w:rsid w:val="00AB446A"/>
    <w:rsid w:val="00AC0ECF"/>
    <w:rsid w:val="00AC372B"/>
    <w:rsid w:val="00AD5036"/>
    <w:rsid w:val="00AD64B2"/>
    <w:rsid w:val="00AE6D60"/>
    <w:rsid w:val="00AF4DB4"/>
    <w:rsid w:val="00B068DA"/>
    <w:rsid w:val="00B077CF"/>
    <w:rsid w:val="00B137B4"/>
    <w:rsid w:val="00B24A07"/>
    <w:rsid w:val="00B264D9"/>
    <w:rsid w:val="00B475BF"/>
    <w:rsid w:val="00B5448E"/>
    <w:rsid w:val="00B75A40"/>
    <w:rsid w:val="00B75AE1"/>
    <w:rsid w:val="00B95745"/>
    <w:rsid w:val="00BA2608"/>
    <w:rsid w:val="00BA5BB0"/>
    <w:rsid w:val="00BB37E4"/>
    <w:rsid w:val="00BD4BC3"/>
    <w:rsid w:val="00BF62F9"/>
    <w:rsid w:val="00C061DD"/>
    <w:rsid w:val="00C12A10"/>
    <w:rsid w:val="00C36059"/>
    <w:rsid w:val="00C403BA"/>
    <w:rsid w:val="00C403F5"/>
    <w:rsid w:val="00C46B5E"/>
    <w:rsid w:val="00C651CE"/>
    <w:rsid w:val="00C73267"/>
    <w:rsid w:val="00C772CA"/>
    <w:rsid w:val="00C86652"/>
    <w:rsid w:val="00C86B17"/>
    <w:rsid w:val="00CA19B7"/>
    <w:rsid w:val="00CB7E1F"/>
    <w:rsid w:val="00CE10A1"/>
    <w:rsid w:val="00CF5E50"/>
    <w:rsid w:val="00CF79AB"/>
    <w:rsid w:val="00D01043"/>
    <w:rsid w:val="00D031F0"/>
    <w:rsid w:val="00D033C6"/>
    <w:rsid w:val="00D053C5"/>
    <w:rsid w:val="00D114E4"/>
    <w:rsid w:val="00D11924"/>
    <w:rsid w:val="00D13102"/>
    <w:rsid w:val="00D33BE6"/>
    <w:rsid w:val="00D408CF"/>
    <w:rsid w:val="00D411FF"/>
    <w:rsid w:val="00D54DE0"/>
    <w:rsid w:val="00D564A9"/>
    <w:rsid w:val="00D57FF0"/>
    <w:rsid w:val="00D634D8"/>
    <w:rsid w:val="00D67FE7"/>
    <w:rsid w:val="00D76CCD"/>
    <w:rsid w:val="00D840DE"/>
    <w:rsid w:val="00D86654"/>
    <w:rsid w:val="00DA0042"/>
    <w:rsid w:val="00DC68E1"/>
    <w:rsid w:val="00DD0AB3"/>
    <w:rsid w:val="00DD3436"/>
    <w:rsid w:val="00DE2624"/>
    <w:rsid w:val="00DE5117"/>
    <w:rsid w:val="00DF6665"/>
    <w:rsid w:val="00E07718"/>
    <w:rsid w:val="00E10E20"/>
    <w:rsid w:val="00E15BD0"/>
    <w:rsid w:val="00E2394C"/>
    <w:rsid w:val="00E30FFD"/>
    <w:rsid w:val="00E3258A"/>
    <w:rsid w:val="00E325A1"/>
    <w:rsid w:val="00E32E6D"/>
    <w:rsid w:val="00E51072"/>
    <w:rsid w:val="00E56D27"/>
    <w:rsid w:val="00E6278D"/>
    <w:rsid w:val="00E8448C"/>
    <w:rsid w:val="00E85E30"/>
    <w:rsid w:val="00E9178F"/>
    <w:rsid w:val="00EA31C2"/>
    <w:rsid w:val="00EB2BB2"/>
    <w:rsid w:val="00EB75EA"/>
    <w:rsid w:val="00EC4DCD"/>
    <w:rsid w:val="00EC6F19"/>
    <w:rsid w:val="00F0013D"/>
    <w:rsid w:val="00F04C83"/>
    <w:rsid w:val="00F13B95"/>
    <w:rsid w:val="00F15CF7"/>
    <w:rsid w:val="00F27E16"/>
    <w:rsid w:val="00F46148"/>
    <w:rsid w:val="00F54CCE"/>
    <w:rsid w:val="00F67782"/>
    <w:rsid w:val="00F708A6"/>
    <w:rsid w:val="00F74678"/>
    <w:rsid w:val="00F83A6F"/>
    <w:rsid w:val="00F845F4"/>
    <w:rsid w:val="00F910D5"/>
    <w:rsid w:val="00F930FD"/>
    <w:rsid w:val="00FA2BC8"/>
    <w:rsid w:val="00FB07DF"/>
    <w:rsid w:val="00FB3DC0"/>
    <w:rsid w:val="00FC01F8"/>
    <w:rsid w:val="00FC4E61"/>
    <w:rsid w:val="00FD34FA"/>
    <w:rsid w:val="00FD674C"/>
    <w:rsid w:val="00FD74D6"/>
    <w:rsid w:val="00FE0078"/>
    <w:rsid w:val="00FE229F"/>
    <w:rsid w:val="00FE4EB7"/>
    <w:rsid w:val="00FF0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8110B2"/>
    <w:rPr>
      <w:rFonts w:ascii="Calibri" w:hAnsi="Calibri"/>
      <w:sz w:val="22"/>
      <w:szCs w:val="24"/>
      <w:lang w:eastAsia="en-US"/>
    </w:rPr>
  </w:style>
  <w:style w:type="paragraph" w:styleId="Heading1">
    <w:name w:val="heading 1"/>
    <w:basedOn w:val="Normal"/>
    <w:next w:val="Normal"/>
    <w:qFormat/>
    <w:rsid w:val="008110B2"/>
    <w:pPr>
      <w:keepNext/>
      <w:spacing w:before="240" w:after="60"/>
      <w:outlineLvl w:val="0"/>
    </w:pPr>
    <w:rPr>
      <w:rFonts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8110B2"/>
    <w:pPr>
      <w:spacing w:after="113" w:line="240" w:lineRule="atLeast"/>
    </w:pPr>
    <w:rPr>
      <w:rFonts w:ascii="Calibri" w:hAnsi="Calibri" w:cs="Arial"/>
      <w:sz w:val="22"/>
      <w:szCs w:val="24"/>
      <w:lang w:eastAsia="en-US"/>
    </w:rPr>
  </w:style>
  <w:style w:type="paragraph" w:customStyle="1" w:styleId="Bullet">
    <w:name w:val="_Bullet"/>
    <w:link w:val="BulletChar"/>
    <w:qFormat/>
    <w:rsid w:val="008110B2"/>
    <w:pPr>
      <w:numPr>
        <w:numId w:val="16"/>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8110B2"/>
    <w:rPr>
      <w:rFonts w:ascii="Calibri" w:hAnsi="Calibri" w:cs="Arial"/>
      <w:sz w:val="22"/>
      <w:szCs w:val="24"/>
      <w:lang w:eastAsia="en-US"/>
    </w:rPr>
  </w:style>
  <w:style w:type="paragraph" w:customStyle="1" w:styleId="Bullet2">
    <w:name w:val="_Bullet2"/>
    <w:basedOn w:val="Bullet"/>
    <w:qFormat/>
    <w:rsid w:val="00D033C6"/>
    <w:pPr>
      <w:numPr>
        <w:ilvl w:val="1"/>
        <w:numId w:val="19"/>
      </w:numPr>
    </w:pPr>
  </w:style>
  <w:style w:type="paragraph" w:customStyle="1" w:styleId="Caption">
    <w:name w:val="_Caption"/>
    <w:qFormat/>
    <w:rsid w:val="008110B2"/>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6643F2"/>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8110B2"/>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8110B2"/>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8110B2"/>
    <w:pPr>
      <w:spacing w:before="57" w:after="57" w:line="220" w:lineRule="atLeast"/>
    </w:pPr>
    <w:rPr>
      <w:rFonts w:ascii="Calibri" w:hAnsi="Calibri" w:cs="Arial"/>
      <w:b/>
      <w:i/>
      <w:sz w:val="22"/>
      <w:szCs w:val="24"/>
      <w:lang w:eastAsia="en-US"/>
    </w:rPr>
  </w:style>
  <w:style w:type="paragraph" w:customStyle="1" w:styleId="Pullout">
    <w:name w:val="_Pullout"/>
    <w:qFormat/>
    <w:rsid w:val="006643F2"/>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8110B2"/>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8110B2"/>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8110B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5304F7"/>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5C70F5"/>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643F2"/>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semiHidden/>
    <w:rsid w:val="00077758"/>
    <w:rPr>
      <w:szCs w:val="20"/>
    </w:rPr>
  </w:style>
  <w:style w:type="character" w:customStyle="1" w:styleId="FootnoteTextChar">
    <w:name w:val="Footnote Text Char"/>
    <w:link w:val="FootnoteText"/>
    <w:semiHidden/>
    <w:rsid w:val="00077758"/>
    <w:rPr>
      <w:lang w:eastAsia="en-US"/>
    </w:rPr>
  </w:style>
  <w:style w:type="character" w:styleId="FootnoteReference">
    <w:name w:val="footnote reference"/>
    <w:semiHidden/>
    <w:rsid w:val="00077758"/>
    <w:rPr>
      <w:rFonts w:ascii="Arial" w:hAnsi="Arial"/>
      <w:vertAlign w:val="superscript"/>
    </w:rPr>
  </w:style>
  <w:style w:type="table" w:customStyle="1" w:styleId="TableGrid10">
    <w:name w:val="Table Grid1"/>
    <w:basedOn w:val="TableNormal"/>
    <w:next w:val="TableGrid"/>
    <w:uiPriority w:val="59"/>
    <w:rsid w:val="00D76C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8110B2"/>
    <w:rPr>
      <w:rFonts w:ascii="Calibri" w:hAnsi="Calibri"/>
      <w:sz w:val="22"/>
      <w:szCs w:val="24"/>
      <w:lang w:eastAsia="en-US"/>
    </w:rPr>
  </w:style>
  <w:style w:type="paragraph" w:styleId="Heading1">
    <w:name w:val="heading 1"/>
    <w:basedOn w:val="Normal"/>
    <w:next w:val="Normal"/>
    <w:qFormat/>
    <w:rsid w:val="008110B2"/>
    <w:pPr>
      <w:keepNext/>
      <w:spacing w:before="240" w:after="60"/>
      <w:outlineLvl w:val="0"/>
    </w:pPr>
    <w:rPr>
      <w:rFonts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8110B2"/>
    <w:pPr>
      <w:spacing w:after="113" w:line="240" w:lineRule="atLeast"/>
    </w:pPr>
    <w:rPr>
      <w:rFonts w:ascii="Calibri" w:hAnsi="Calibri" w:cs="Arial"/>
      <w:sz w:val="22"/>
      <w:szCs w:val="24"/>
      <w:lang w:eastAsia="en-US"/>
    </w:rPr>
  </w:style>
  <w:style w:type="paragraph" w:customStyle="1" w:styleId="Bullet">
    <w:name w:val="_Bullet"/>
    <w:link w:val="BulletChar"/>
    <w:qFormat/>
    <w:rsid w:val="008110B2"/>
    <w:pPr>
      <w:numPr>
        <w:numId w:val="16"/>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8110B2"/>
    <w:rPr>
      <w:rFonts w:ascii="Calibri" w:hAnsi="Calibri" w:cs="Arial"/>
      <w:sz w:val="22"/>
      <w:szCs w:val="24"/>
      <w:lang w:eastAsia="en-US"/>
    </w:rPr>
  </w:style>
  <w:style w:type="paragraph" w:customStyle="1" w:styleId="Bullet2">
    <w:name w:val="_Bullet2"/>
    <w:basedOn w:val="Bullet"/>
    <w:qFormat/>
    <w:rsid w:val="00D033C6"/>
    <w:pPr>
      <w:numPr>
        <w:ilvl w:val="1"/>
        <w:numId w:val="19"/>
      </w:numPr>
    </w:pPr>
  </w:style>
  <w:style w:type="paragraph" w:customStyle="1" w:styleId="Caption">
    <w:name w:val="_Caption"/>
    <w:qFormat/>
    <w:rsid w:val="008110B2"/>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6643F2"/>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8110B2"/>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8110B2"/>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8110B2"/>
    <w:pPr>
      <w:spacing w:before="57" w:after="57" w:line="220" w:lineRule="atLeast"/>
    </w:pPr>
    <w:rPr>
      <w:rFonts w:ascii="Calibri" w:hAnsi="Calibri" w:cs="Arial"/>
      <w:b/>
      <w:i/>
      <w:sz w:val="22"/>
      <w:szCs w:val="24"/>
      <w:lang w:eastAsia="en-US"/>
    </w:rPr>
  </w:style>
  <w:style w:type="paragraph" w:customStyle="1" w:styleId="Pullout">
    <w:name w:val="_Pullout"/>
    <w:qFormat/>
    <w:rsid w:val="006643F2"/>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8110B2"/>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8110B2"/>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8110B2"/>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5304F7"/>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5C70F5"/>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643F2"/>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semiHidden/>
    <w:rsid w:val="00077758"/>
    <w:rPr>
      <w:szCs w:val="20"/>
    </w:rPr>
  </w:style>
  <w:style w:type="character" w:customStyle="1" w:styleId="FootnoteTextChar">
    <w:name w:val="Footnote Text Char"/>
    <w:link w:val="FootnoteText"/>
    <w:semiHidden/>
    <w:rsid w:val="00077758"/>
    <w:rPr>
      <w:lang w:eastAsia="en-US"/>
    </w:rPr>
  </w:style>
  <w:style w:type="character" w:styleId="FootnoteReference">
    <w:name w:val="footnote reference"/>
    <w:semiHidden/>
    <w:rsid w:val="00077758"/>
    <w:rPr>
      <w:rFonts w:ascii="Arial" w:hAnsi="Arial"/>
      <w:vertAlign w:val="superscript"/>
    </w:rPr>
  </w:style>
  <w:style w:type="table" w:customStyle="1" w:styleId="TableGrid10">
    <w:name w:val="Table Grid1"/>
    <w:basedOn w:val="TableNormal"/>
    <w:next w:val="TableGrid"/>
    <w:uiPriority w:val="59"/>
    <w:rsid w:val="00D76C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90BD2-A21A-4628-AA64-80376368B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8</Pages>
  <Words>2793</Words>
  <Characters>16271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2015-05-29T03:05:00Z</dcterms:created>
  <dcterms:modified xsi:type="dcterms:W3CDTF">2015-12-09T05:00:00Z</dcterms:modified>
</cp:coreProperties>
</file>